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DC04" w14:textId="420159BE" w:rsidR="0024366C" w:rsidRPr="00675063" w:rsidRDefault="0024366C" w:rsidP="00BC4F0A">
      <w:pPr>
        <w:spacing w:after="120" w:line="240" w:lineRule="auto"/>
        <w:rPr>
          <w:rFonts w:cstheme="minorHAnsi"/>
          <w:sz w:val="20"/>
          <w:szCs w:val="20"/>
        </w:rPr>
      </w:pPr>
    </w:p>
    <w:p w14:paraId="279C2581" w14:textId="0D395DCC" w:rsidR="00F33DEE" w:rsidRPr="00675063" w:rsidRDefault="00F33DEE" w:rsidP="00ED24B6">
      <w:pPr>
        <w:pStyle w:val="Paragraphedeliste"/>
        <w:numPr>
          <w:ilvl w:val="0"/>
          <w:numId w:val="1"/>
        </w:numPr>
        <w:spacing w:after="0" w:line="200" w:lineRule="exact"/>
        <w:jc w:val="center"/>
        <w:rPr>
          <w:color w:val="FF0000"/>
          <w:sz w:val="20"/>
          <w:szCs w:val="20"/>
        </w:rPr>
      </w:pPr>
      <w:r>
        <w:rPr>
          <w:color w:val="FF0000"/>
          <w:sz w:val="20"/>
        </w:rPr>
        <w:t>MOD</w:t>
      </w:r>
      <w:r w:rsidR="00023A28">
        <w:rPr>
          <w:color w:val="FF0000"/>
          <w:sz w:val="20"/>
        </w:rPr>
        <w:t>È</w:t>
      </w:r>
      <w:r>
        <w:rPr>
          <w:color w:val="FF0000"/>
          <w:sz w:val="20"/>
        </w:rPr>
        <w:t xml:space="preserve">LE </w:t>
      </w:r>
      <w:r w:rsidR="00AD1856">
        <w:rPr>
          <w:color w:val="FF0000"/>
          <w:sz w:val="20"/>
        </w:rPr>
        <w:t>–</w:t>
      </w:r>
      <w:r>
        <w:rPr>
          <w:color w:val="FF0000"/>
          <w:sz w:val="20"/>
        </w:rPr>
        <w:t xml:space="preserve"> </w:t>
      </w:r>
      <w:r w:rsidR="0037262A">
        <w:rPr>
          <w:color w:val="FF0000"/>
          <w:sz w:val="20"/>
        </w:rPr>
        <w:t>À</w:t>
      </w:r>
      <w:r>
        <w:rPr>
          <w:color w:val="FF0000"/>
          <w:sz w:val="20"/>
        </w:rPr>
        <w:t xml:space="preserve"> REVOIR ET ADAPTER </w:t>
      </w:r>
      <w:r w:rsidR="007D6B5E">
        <w:rPr>
          <w:color w:val="FF0000"/>
          <w:sz w:val="20"/>
        </w:rPr>
        <w:t>–</w:t>
      </w:r>
      <w:r>
        <w:rPr>
          <w:color w:val="FF0000"/>
          <w:sz w:val="20"/>
        </w:rPr>
        <w:t xml:space="preserve"> </w:t>
      </w:r>
    </w:p>
    <w:p w14:paraId="740D43A4" w14:textId="77777777" w:rsidR="0091364B" w:rsidRDefault="0091364B" w:rsidP="0091364B">
      <w:pPr>
        <w:spacing w:after="120" w:line="240" w:lineRule="auto"/>
        <w:jc w:val="center"/>
        <w:rPr>
          <w:rFonts w:ascii="Gill Sans Nova" w:eastAsiaTheme="minorEastAsia" w:hAnsi="Gill Sans Nova"/>
          <w:smallCaps/>
          <w:color w:val="4472C4"/>
          <w:sz w:val="28"/>
          <w:szCs w:val="28"/>
        </w:rPr>
      </w:pPr>
    </w:p>
    <w:p w14:paraId="3EC9DB85" w14:textId="29001A47" w:rsidR="00125E07" w:rsidRDefault="00DF5EAB" w:rsidP="0091364B">
      <w:pPr>
        <w:spacing w:after="120" w:line="240" w:lineRule="auto"/>
        <w:jc w:val="center"/>
        <w:rPr>
          <w:rFonts w:ascii="Gill Sans Nova" w:eastAsiaTheme="minorEastAsia" w:hAnsi="Gill Sans Nova"/>
          <w:smallCaps/>
          <w:color w:val="4472C4"/>
          <w:sz w:val="32"/>
          <w:szCs w:val="32"/>
        </w:rPr>
      </w:pPr>
      <w:r>
        <w:rPr>
          <w:rFonts w:ascii="Gill Sans Nova" w:hAnsi="Gill Sans Nova"/>
          <w:smallCaps/>
          <w:color w:val="4472C4"/>
          <w:sz w:val="32"/>
        </w:rPr>
        <w:t xml:space="preserve">Bureau </w:t>
      </w:r>
      <w:r w:rsidR="24D80BAF">
        <w:rPr>
          <w:rFonts w:ascii="Gill Sans Nova" w:hAnsi="Gill Sans Nova"/>
          <w:smallCaps/>
          <w:color w:val="4472C4"/>
          <w:sz w:val="32"/>
        </w:rPr>
        <w:t>de l’OIM –</w:t>
      </w:r>
      <w:r w:rsidR="00BA0143">
        <w:rPr>
          <w:rFonts w:ascii="Arial" w:hAnsi="Arial" w:cs="Arial"/>
          <w:smallCaps/>
          <w:color w:val="4472C4"/>
          <w:sz w:val="32"/>
        </w:rPr>
        <w:t> </w:t>
      </w:r>
      <w:r w:rsidR="24D80BAF">
        <w:rPr>
          <w:rFonts w:ascii="Gill Sans Nova" w:hAnsi="Gill Sans Nova"/>
          <w:smallCaps/>
          <w:color w:val="4472C4"/>
          <w:sz w:val="32"/>
        </w:rPr>
        <w:t>(</w:t>
      </w:r>
      <w:r>
        <w:rPr>
          <w:rFonts w:ascii="Gill Sans Nova" w:hAnsi="Gill Sans Nova"/>
          <w:smallCaps/>
          <w:color w:val="4472C4"/>
          <w:sz w:val="32"/>
        </w:rPr>
        <w:t>nom</w:t>
      </w:r>
      <w:r w:rsidR="24D80BAF">
        <w:rPr>
          <w:rFonts w:ascii="Gill Sans Nova" w:hAnsi="Gill Sans Nova"/>
          <w:smallCaps/>
          <w:color w:val="4472C4"/>
          <w:sz w:val="32"/>
        </w:rPr>
        <w:t xml:space="preserve">) </w:t>
      </w:r>
    </w:p>
    <w:tbl>
      <w:tblPr>
        <w:tblStyle w:val="Grilledutableau"/>
        <w:tblW w:w="0" w:type="auto"/>
        <w:shd w:val="clear" w:color="auto" w:fill="548DD4" w:themeFill="text2" w:themeFillTint="99"/>
        <w:tblLook w:val="04A0" w:firstRow="1" w:lastRow="0" w:firstColumn="1" w:lastColumn="0" w:noHBand="0" w:noVBand="1"/>
      </w:tblPr>
      <w:tblGrid>
        <w:gridCol w:w="10470"/>
      </w:tblGrid>
      <w:tr w:rsidR="00125E07" w14:paraId="781F18B9" w14:textId="77777777" w:rsidTr="00125E07">
        <w:tc>
          <w:tcPr>
            <w:tcW w:w="10470" w:type="dxa"/>
            <w:shd w:val="clear" w:color="auto" w:fill="548DD4" w:themeFill="text2" w:themeFillTint="99"/>
          </w:tcPr>
          <w:p w14:paraId="7BD6BD0A" w14:textId="4FBA9BB2" w:rsidR="00125E07" w:rsidRPr="00D12A7D" w:rsidRDefault="00125E07" w:rsidP="00125E07">
            <w:pPr>
              <w:spacing w:after="120"/>
              <w:jc w:val="center"/>
              <w:rPr>
                <w:rFonts w:ascii="Gill Sans Nova" w:eastAsia="Arial" w:hAnsi="Gill Sans Nova"/>
                <w:smallCaps/>
                <w:color w:val="FFFFFF" w:themeColor="background1"/>
                <w:sz w:val="36"/>
                <w:szCs w:val="36"/>
              </w:rPr>
            </w:pPr>
            <w:r>
              <w:rPr>
                <w:rFonts w:ascii="Gill Sans Nova" w:hAnsi="Gill Sans Nova"/>
                <w:b/>
                <w:smallCaps/>
                <w:color w:val="FFFFFF" w:themeColor="background1"/>
                <w:sz w:val="36"/>
              </w:rPr>
              <w:t xml:space="preserve">Appel </w:t>
            </w:r>
            <w:r w:rsidR="00023A28">
              <w:rPr>
                <w:rFonts w:ascii="Gill Sans Nova" w:hAnsi="Gill Sans Nova"/>
                <w:b/>
                <w:smallCaps/>
                <w:color w:val="FFFFFF" w:themeColor="background1"/>
                <w:sz w:val="36"/>
              </w:rPr>
              <w:t>à</w:t>
            </w:r>
            <w:r>
              <w:rPr>
                <w:rFonts w:ascii="Gill Sans Nova" w:hAnsi="Gill Sans Nova"/>
                <w:b/>
                <w:smallCaps/>
                <w:color w:val="FFFFFF" w:themeColor="background1"/>
                <w:sz w:val="36"/>
              </w:rPr>
              <w:t xml:space="preserve"> manifestation d’intérêt</w:t>
            </w:r>
          </w:p>
        </w:tc>
      </w:tr>
    </w:tbl>
    <w:p w14:paraId="3791328F" w14:textId="77777777" w:rsidR="0024366C" w:rsidRPr="00D00051" w:rsidRDefault="0024366C" w:rsidP="0091364B">
      <w:pPr>
        <w:spacing w:after="120" w:line="240" w:lineRule="auto"/>
        <w:rPr>
          <w:rFonts w:cstheme="minorHAnsi"/>
        </w:rPr>
      </w:pPr>
    </w:p>
    <w:p w14:paraId="584D5B89" w14:textId="77777777" w:rsidR="0024366C" w:rsidRPr="00D00051" w:rsidRDefault="00C529A8" w:rsidP="0091364B">
      <w:pPr>
        <w:tabs>
          <w:tab w:val="left" w:pos="840"/>
        </w:tabs>
        <w:spacing w:after="120" w:line="240" w:lineRule="auto"/>
        <w:rPr>
          <w:rFonts w:eastAsia="Arial" w:cstheme="minorHAnsi"/>
        </w:rPr>
      </w:pPr>
      <w:r>
        <w:t>1</w:t>
      </w:r>
      <w:r>
        <w:tab/>
      </w:r>
      <w:r>
        <w:rPr>
          <w:b/>
          <w:i/>
        </w:rPr>
        <w:t>Calendrier</w:t>
      </w:r>
    </w:p>
    <w:tbl>
      <w:tblPr>
        <w:tblW w:w="8910" w:type="dxa"/>
        <w:tblInd w:w="897" w:type="dxa"/>
        <w:tblLayout w:type="fixed"/>
        <w:tblCellMar>
          <w:left w:w="0" w:type="dxa"/>
          <w:right w:w="0" w:type="dxa"/>
        </w:tblCellMar>
        <w:tblLook w:val="01E0" w:firstRow="1" w:lastRow="1" w:firstColumn="1" w:lastColumn="1" w:noHBand="0" w:noVBand="0"/>
      </w:tblPr>
      <w:tblGrid>
        <w:gridCol w:w="3600"/>
        <w:gridCol w:w="5310"/>
      </w:tblGrid>
      <w:tr w:rsidR="00D00051" w:rsidRPr="00D00051" w14:paraId="339E3C07" w14:textId="77777777" w:rsidTr="00023A28">
        <w:trPr>
          <w:trHeight w:hRule="exact" w:val="603"/>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6B5E879D" w14:textId="3655DF4C" w:rsidR="00D00051" w:rsidRPr="009A163E" w:rsidRDefault="00D00051" w:rsidP="0091364B">
            <w:pPr>
              <w:spacing w:after="120" w:line="240" w:lineRule="auto"/>
              <w:rPr>
                <w:rFonts w:eastAsia="Arial" w:cstheme="minorHAnsi"/>
                <w:b/>
                <w:bCs/>
                <w:color w:val="FFFFFF"/>
                <w:sz w:val="24"/>
                <w:szCs w:val="24"/>
              </w:rPr>
            </w:pPr>
            <w:r>
              <w:rPr>
                <w:b/>
                <w:color w:val="FFFFFF"/>
                <w:sz w:val="24"/>
              </w:rPr>
              <w:t xml:space="preserve">Numéro de référence de l’appel </w:t>
            </w:r>
            <w:r w:rsidR="00023A28">
              <w:rPr>
                <w:b/>
                <w:color w:val="FFFFFF"/>
                <w:sz w:val="24"/>
              </w:rPr>
              <w:t xml:space="preserve">à </w:t>
            </w:r>
            <w:r>
              <w:rPr>
                <w:b/>
                <w:color w:val="FFFFFF"/>
                <w:sz w:val="24"/>
              </w:rPr>
              <w:t>manifestation d’intérêt</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5947D" w14:textId="39DE7288" w:rsidR="00D00051" w:rsidRPr="00D00051" w:rsidRDefault="00793F87" w:rsidP="0091364B">
            <w:pPr>
              <w:spacing w:after="120" w:line="240" w:lineRule="auto"/>
              <w:rPr>
                <w:rFonts w:eastAsia="Arial" w:cstheme="minorHAnsi"/>
              </w:rPr>
            </w:pPr>
            <w:r w:rsidRPr="00707DAA">
              <w:rPr>
                <w:rFonts w:eastAsia="Arial" w:cstheme="minorHAnsi"/>
                <w:b/>
                <w:bCs/>
                <w:lang w:val="en-US"/>
              </w:rPr>
              <w:t>IP Management-</w:t>
            </w:r>
            <w:r w:rsidR="00C60D14">
              <w:rPr>
                <w:rFonts w:eastAsia="Arial" w:cstheme="minorHAnsi"/>
                <w:b/>
                <w:bCs/>
                <w:lang w:val="en-US"/>
              </w:rPr>
              <w:t>0</w:t>
            </w:r>
            <w:r w:rsidR="00ED24B6">
              <w:rPr>
                <w:rFonts w:eastAsia="Arial" w:cstheme="minorHAnsi"/>
                <w:b/>
                <w:bCs/>
                <w:lang w:val="en-US"/>
              </w:rPr>
              <w:t>8</w:t>
            </w:r>
            <w:r w:rsidRPr="00707DAA">
              <w:rPr>
                <w:rFonts w:eastAsia="Arial" w:cstheme="minorHAnsi"/>
                <w:b/>
                <w:bCs/>
                <w:lang w:val="en-US"/>
              </w:rPr>
              <w:t>/202</w:t>
            </w:r>
            <w:r w:rsidR="00871652">
              <w:rPr>
                <w:rFonts w:eastAsia="Arial" w:cstheme="minorHAnsi"/>
                <w:b/>
                <w:bCs/>
                <w:lang w:val="en-US"/>
              </w:rPr>
              <w:t>5</w:t>
            </w:r>
            <w:r w:rsidRPr="00707DAA">
              <w:rPr>
                <w:rFonts w:eastAsia="Arial" w:cstheme="minorHAnsi"/>
                <w:b/>
                <w:bCs/>
                <w:lang w:val="en-US"/>
              </w:rPr>
              <w:t>-No.</w:t>
            </w:r>
            <w:r w:rsidRPr="00707DAA">
              <w:rPr>
                <w:rFonts w:eastAsia="Arial" w:cstheme="minorHAnsi"/>
                <w:b/>
                <w:bCs/>
                <w:color w:val="FF0000"/>
                <w:lang w:val="en-US"/>
              </w:rPr>
              <w:t>00</w:t>
            </w:r>
            <w:r w:rsidR="00695400">
              <w:rPr>
                <w:rFonts w:eastAsia="Arial" w:cstheme="minorHAnsi"/>
                <w:b/>
                <w:bCs/>
                <w:color w:val="FF0000"/>
                <w:lang w:val="en-US"/>
              </w:rPr>
              <w:t>2</w:t>
            </w:r>
          </w:p>
        </w:tc>
      </w:tr>
      <w:tr w:rsidR="0024366C" w:rsidRPr="00D00051" w14:paraId="3DFC9E05"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9A163E" w:rsidRDefault="00023A28" w:rsidP="0091364B">
            <w:pPr>
              <w:spacing w:after="120" w:line="240" w:lineRule="auto"/>
              <w:rPr>
                <w:rFonts w:eastAsia="Arial" w:cstheme="minorHAnsi"/>
                <w:b/>
                <w:bCs/>
                <w:sz w:val="24"/>
                <w:szCs w:val="24"/>
              </w:rPr>
            </w:pPr>
            <w:r>
              <w:rPr>
                <w:b/>
                <w:color w:val="FFFFFF"/>
                <w:sz w:val="24"/>
              </w:rPr>
              <w:t>Date de publication</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3B6BDFB2" w:rsidR="0024366C" w:rsidRPr="00D00051" w:rsidRDefault="005C1639" w:rsidP="0091364B">
            <w:pPr>
              <w:spacing w:after="120" w:line="240" w:lineRule="auto"/>
              <w:rPr>
                <w:rFonts w:eastAsia="Arial" w:cstheme="minorHAnsi"/>
              </w:rPr>
            </w:pPr>
            <w:r>
              <w:rPr>
                <w:rFonts w:eastAsia="Arial" w:cstheme="minorHAnsi"/>
              </w:rPr>
              <w:t>25</w:t>
            </w:r>
            <w:r w:rsidR="00EF3FC1">
              <w:rPr>
                <w:rFonts w:eastAsia="Arial" w:cstheme="minorHAnsi"/>
              </w:rPr>
              <w:t>/0</w:t>
            </w:r>
            <w:r w:rsidR="007E1699">
              <w:rPr>
                <w:rFonts w:eastAsia="Arial" w:cstheme="minorHAnsi"/>
              </w:rPr>
              <w:t>8</w:t>
            </w:r>
            <w:r w:rsidR="00EF3FC1">
              <w:rPr>
                <w:rFonts w:eastAsia="Arial" w:cstheme="minorHAnsi"/>
              </w:rPr>
              <w:t>/2025</w:t>
            </w:r>
          </w:p>
        </w:tc>
      </w:tr>
      <w:tr w:rsidR="0024366C" w:rsidRPr="00D00051" w14:paraId="04C50E9A" w14:textId="77777777" w:rsidTr="00023A28">
        <w:trPr>
          <w:trHeight w:hRule="exact" w:val="65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F4705F4" w14:textId="6CD8C911" w:rsidR="0024366C" w:rsidRPr="009A163E" w:rsidRDefault="00C529A8" w:rsidP="0091364B">
            <w:pPr>
              <w:spacing w:after="120" w:line="240" w:lineRule="auto"/>
              <w:rPr>
                <w:rFonts w:eastAsia="Arial" w:cstheme="minorHAnsi"/>
                <w:b/>
                <w:bCs/>
                <w:sz w:val="24"/>
                <w:szCs w:val="24"/>
              </w:rPr>
            </w:pPr>
            <w:r>
              <w:rPr>
                <w:b/>
                <w:color w:val="FFFFFF"/>
                <w:sz w:val="24"/>
              </w:rPr>
              <w:t xml:space="preserve">Date limite de </w:t>
            </w:r>
            <w:r w:rsidR="002233A4">
              <w:rPr>
                <w:b/>
                <w:color w:val="FFFFFF"/>
                <w:sz w:val="24"/>
              </w:rPr>
              <w:t xml:space="preserve">présentation </w:t>
            </w:r>
            <w:r>
              <w:rPr>
                <w:b/>
                <w:color w:val="FFFFFF"/>
                <w:sz w:val="24"/>
              </w:rPr>
              <w:t>d</w:t>
            </w:r>
            <w:r w:rsidR="002233A4">
              <w:rPr>
                <w:b/>
                <w:color w:val="FFFFFF"/>
                <w:sz w:val="24"/>
              </w:rPr>
              <w:t>’une</w:t>
            </w:r>
            <w:r>
              <w:rPr>
                <w:b/>
                <w:color w:val="FFFFFF"/>
                <w:sz w:val="24"/>
              </w:rPr>
              <w:t xml:space="preserve"> demande de </w:t>
            </w:r>
            <w:r w:rsidR="002233A4">
              <w:rPr>
                <w:b/>
                <w:color w:val="FFFFFF"/>
                <w:sz w:val="24"/>
              </w:rPr>
              <w:t>précision</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BC16D8" w14:textId="23172F4A" w:rsidR="0024366C" w:rsidRPr="00D00051" w:rsidRDefault="005146FD" w:rsidP="0091364B">
            <w:pPr>
              <w:spacing w:after="120" w:line="240" w:lineRule="auto"/>
              <w:rPr>
                <w:rFonts w:eastAsia="Arial" w:cstheme="minorHAnsi"/>
              </w:rPr>
            </w:pPr>
            <w:r>
              <w:rPr>
                <w:rFonts w:eastAsia="Arial" w:cstheme="minorHAnsi"/>
              </w:rPr>
              <w:t>22</w:t>
            </w:r>
            <w:r w:rsidR="002E642B">
              <w:rPr>
                <w:rFonts w:eastAsia="Arial" w:cstheme="minorHAnsi"/>
              </w:rPr>
              <w:t>/0</w:t>
            </w:r>
            <w:r w:rsidR="00494B6F">
              <w:rPr>
                <w:rFonts w:eastAsia="Arial" w:cstheme="minorHAnsi"/>
              </w:rPr>
              <w:t>9</w:t>
            </w:r>
            <w:r w:rsidR="002E642B">
              <w:rPr>
                <w:rFonts w:eastAsia="Arial" w:cstheme="minorHAnsi"/>
              </w:rPr>
              <w:t>/202</w:t>
            </w:r>
            <w:r w:rsidR="00356FAA">
              <w:rPr>
                <w:rFonts w:eastAsia="Arial" w:cstheme="minorHAnsi"/>
              </w:rPr>
              <w:t>5</w:t>
            </w:r>
          </w:p>
        </w:tc>
      </w:tr>
      <w:tr w:rsidR="00264830" w:rsidRPr="00D00051" w14:paraId="27061400" w14:textId="77777777" w:rsidTr="00023A28">
        <w:trPr>
          <w:trHeight w:hRule="exact" w:val="56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64830" w:rsidRPr="009A163E" w:rsidRDefault="00264830" w:rsidP="00264830">
            <w:pPr>
              <w:spacing w:after="120" w:line="240" w:lineRule="auto"/>
              <w:rPr>
                <w:rFonts w:eastAsia="Arial" w:cstheme="minorHAnsi"/>
                <w:b/>
                <w:bCs/>
                <w:sz w:val="24"/>
                <w:szCs w:val="24"/>
              </w:rPr>
            </w:pPr>
            <w:r>
              <w:rPr>
                <w:b/>
                <w:color w:val="FFFFFF"/>
                <w:sz w:val="24"/>
              </w:rPr>
              <w:t>Date limite de dépôt des candidatures</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EE60D7" w14:textId="666FC529" w:rsidR="00264830" w:rsidRPr="00D00051" w:rsidRDefault="00264830" w:rsidP="00264830">
            <w:pPr>
              <w:spacing w:after="120" w:line="240" w:lineRule="auto"/>
              <w:rPr>
                <w:rFonts w:eastAsia="Arial" w:cstheme="minorHAnsi"/>
              </w:rPr>
            </w:pPr>
            <w:r>
              <w:rPr>
                <w:rFonts w:eastAsia="Arial" w:cstheme="minorHAnsi"/>
              </w:rPr>
              <w:t>22/09/202</w:t>
            </w:r>
            <w:r w:rsidR="00356FAA">
              <w:rPr>
                <w:rFonts w:eastAsia="Arial" w:cstheme="minorHAnsi"/>
              </w:rPr>
              <w:t>5</w:t>
            </w:r>
          </w:p>
        </w:tc>
      </w:tr>
      <w:tr w:rsidR="00264830" w:rsidRPr="00D00051" w14:paraId="52E59E6E"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F3A17D9" w14:textId="53A687C9" w:rsidR="00264830" w:rsidRPr="009A163E" w:rsidRDefault="00264830" w:rsidP="00264830">
            <w:pPr>
              <w:tabs>
                <w:tab w:val="center" w:pos="2713"/>
              </w:tabs>
              <w:spacing w:after="120" w:line="240" w:lineRule="auto"/>
              <w:rPr>
                <w:rFonts w:eastAsia="Arial" w:cstheme="minorHAnsi"/>
                <w:b/>
                <w:bCs/>
                <w:sz w:val="24"/>
                <w:szCs w:val="24"/>
              </w:rPr>
            </w:pPr>
            <w:r>
              <w:rPr>
                <w:b/>
                <w:color w:val="FFFFFF"/>
                <w:sz w:val="24"/>
              </w:rPr>
              <w:t>Communication des résultats</w:t>
            </w:r>
            <w:r>
              <w:rPr>
                <w:b/>
                <w:color w:val="FFFFFF"/>
                <w:sz w:val="24"/>
              </w:rPr>
              <w:tab/>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9D1F" w14:textId="4DCDFE6A" w:rsidR="00264830" w:rsidRPr="00D00051" w:rsidRDefault="00264830" w:rsidP="00264830">
            <w:pPr>
              <w:spacing w:after="120" w:line="240" w:lineRule="auto"/>
              <w:rPr>
                <w:rFonts w:eastAsia="Arial" w:cstheme="minorHAnsi"/>
              </w:rPr>
            </w:pPr>
            <w:r w:rsidRPr="00605034">
              <w:rPr>
                <w:rFonts w:eastAsia="Arial" w:cstheme="minorHAnsi"/>
              </w:rPr>
              <w:t>A déterminer</w:t>
            </w:r>
          </w:p>
        </w:tc>
      </w:tr>
      <w:tr w:rsidR="00264830" w:rsidRPr="00D00051" w14:paraId="03409089"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64830" w:rsidRPr="009A163E" w:rsidRDefault="00264830" w:rsidP="00264830">
            <w:pPr>
              <w:spacing w:after="120" w:line="240" w:lineRule="auto"/>
              <w:rPr>
                <w:rFonts w:eastAsia="Arial"/>
                <w:b/>
                <w:bCs/>
                <w:sz w:val="24"/>
                <w:szCs w:val="24"/>
              </w:rPr>
            </w:pPr>
            <w:r>
              <w:rPr>
                <w:b/>
                <w:color w:val="FFFFFF" w:themeColor="background1"/>
                <w:sz w:val="24"/>
              </w:rPr>
              <w:t>Date de début de la mise en œuvre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E4DEB4" w14:textId="536ABF4E" w:rsidR="00264830" w:rsidRPr="00D00051" w:rsidRDefault="00264830" w:rsidP="00264830">
            <w:pPr>
              <w:spacing w:after="120" w:line="240" w:lineRule="auto"/>
              <w:rPr>
                <w:rFonts w:eastAsia="Arial" w:cstheme="minorHAnsi"/>
              </w:rPr>
            </w:pPr>
            <w:r w:rsidRPr="00605034">
              <w:rPr>
                <w:rFonts w:eastAsia="Arial" w:cstheme="minorHAnsi"/>
              </w:rPr>
              <w:t>A déterminer</w:t>
            </w:r>
          </w:p>
        </w:tc>
      </w:tr>
      <w:tr w:rsidR="00264830" w:rsidRPr="00D00051" w14:paraId="767C37D0"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EF595E2" w14:textId="0C795D02" w:rsidR="00264830" w:rsidRPr="009A163E" w:rsidRDefault="00264830" w:rsidP="00264830">
            <w:pPr>
              <w:spacing w:after="120" w:line="240" w:lineRule="auto"/>
              <w:rPr>
                <w:rFonts w:eastAsia="Arial"/>
                <w:b/>
                <w:bCs/>
                <w:sz w:val="24"/>
                <w:szCs w:val="24"/>
              </w:rPr>
            </w:pPr>
            <w:r>
              <w:rPr>
                <w:b/>
                <w:color w:val="FFFFFF" w:themeColor="background1"/>
                <w:sz w:val="24"/>
              </w:rPr>
              <w:t>Date de fin de la mise en œuvre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83EF33" w14:textId="4139E72E" w:rsidR="00264830" w:rsidRPr="00D00051" w:rsidRDefault="00264830" w:rsidP="00264830">
            <w:pPr>
              <w:spacing w:after="120" w:line="240" w:lineRule="auto"/>
              <w:rPr>
                <w:rFonts w:eastAsia="Arial" w:cstheme="minorHAnsi"/>
              </w:rPr>
            </w:pPr>
            <w:r w:rsidRPr="00605034">
              <w:rPr>
                <w:rFonts w:eastAsia="Arial" w:cstheme="minorHAnsi"/>
              </w:rPr>
              <w:t>A déterminer</w:t>
            </w:r>
          </w:p>
        </w:tc>
      </w:tr>
    </w:tbl>
    <w:p w14:paraId="36D89808" w14:textId="5D5F41EA" w:rsidR="18F1BAAB" w:rsidRDefault="18F1BAAB"/>
    <w:p w14:paraId="5A024D2A" w14:textId="07566709" w:rsidR="0091364B" w:rsidRPr="00D00051" w:rsidRDefault="00C529A8" w:rsidP="0091364B">
      <w:pPr>
        <w:tabs>
          <w:tab w:val="left" w:pos="840"/>
        </w:tabs>
        <w:spacing w:after="120" w:line="240" w:lineRule="auto"/>
        <w:rPr>
          <w:rFonts w:eastAsia="Arial" w:cstheme="minorHAnsi"/>
          <w:color w:val="4F81BD" w:themeColor="accent1"/>
        </w:rPr>
      </w:pPr>
      <w:r>
        <w:t>2</w:t>
      </w:r>
      <w:r>
        <w:tab/>
      </w:r>
      <w:r w:rsidR="00023A28">
        <w:rPr>
          <w:b/>
          <w:i/>
        </w:rPr>
        <w:t>Site</w:t>
      </w:r>
      <w:r w:rsidR="0058624E">
        <w:rPr>
          <w:b/>
          <w:i/>
        </w:rPr>
        <w:t>(s)</w:t>
      </w:r>
    </w:p>
    <w:p w14:paraId="78C3C83E" w14:textId="7440A815" w:rsidR="0024366C" w:rsidRPr="00E3022F" w:rsidRDefault="00D00051" w:rsidP="00214F5A">
      <w:pPr>
        <w:widowControl/>
        <w:spacing w:after="0" w:line="240" w:lineRule="auto"/>
        <w:rPr>
          <w:rFonts w:ascii="Calibri" w:eastAsia="Calibri" w:hAnsi="Calibri" w:cs="Calibri"/>
          <w:i/>
          <w:iCs/>
          <w:color w:val="000000"/>
        </w:rPr>
      </w:pPr>
      <w:r>
        <w:rPr>
          <w:i/>
          <w:color w:val="4F81BD" w:themeColor="accent1"/>
        </w:rPr>
        <w:tab/>
      </w:r>
      <w:r w:rsidR="00E3022F" w:rsidRPr="00E3022F">
        <w:rPr>
          <w:rFonts w:ascii="Calibri" w:eastAsia="Calibri" w:hAnsi="Calibri"/>
        </w:rPr>
        <w:t>Toutes les régions du Niger</w:t>
      </w:r>
    </w:p>
    <w:p w14:paraId="5D16B364" w14:textId="77777777" w:rsidR="0024366C" w:rsidRPr="00D00051" w:rsidRDefault="0024366C" w:rsidP="0091364B">
      <w:pPr>
        <w:spacing w:after="120" w:line="240" w:lineRule="auto"/>
        <w:rPr>
          <w:rFonts w:cstheme="minorHAnsi"/>
        </w:rPr>
      </w:pPr>
    </w:p>
    <w:p w14:paraId="4AECE7A8" w14:textId="77777777" w:rsidR="0024366C" w:rsidRPr="00D00051" w:rsidRDefault="00C529A8" w:rsidP="0091364B">
      <w:pPr>
        <w:tabs>
          <w:tab w:val="left" w:pos="840"/>
        </w:tabs>
        <w:spacing w:after="120" w:line="240" w:lineRule="auto"/>
        <w:rPr>
          <w:rFonts w:eastAsia="Arial" w:cstheme="minorHAnsi"/>
        </w:rPr>
      </w:pPr>
      <w:r>
        <w:t>3</w:t>
      </w:r>
      <w:r>
        <w:tab/>
      </w:r>
      <w:r>
        <w:rPr>
          <w:b/>
          <w:i/>
        </w:rPr>
        <w:t>Secteur(s) et domaine(s) de spécialisation</w:t>
      </w:r>
    </w:p>
    <w:p w14:paraId="717D4A9A" w14:textId="4D32E844" w:rsidR="0024366C" w:rsidRPr="00BC4F0A" w:rsidRDefault="003708EA" w:rsidP="00BC4F0A">
      <w:pPr>
        <w:spacing w:after="120" w:line="240" w:lineRule="auto"/>
        <w:jc w:val="both"/>
        <w:rPr>
          <w:rFonts w:eastAsia="Arial" w:cstheme="minorHAnsi"/>
          <w:iCs/>
          <w:color w:val="4F81BD" w:themeColor="accent1"/>
          <w:sz w:val="18"/>
          <w:szCs w:val="18"/>
        </w:rPr>
      </w:pPr>
      <w:r>
        <w:rPr>
          <w:rFonts w:ascii="Calibri" w:eastAsia="Calibri" w:hAnsi="Calibri"/>
        </w:rPr>
        <w:t>A</w:t>
      </w:r>
      <w:r w:rsidR="00D57568" w:rsidRPr="00D57568">
        <w:rPr>
          <w:rFonts w:ascii="Calibri" w:eastAsia="Calibri" w:hAnsi="Calibri"/>
        </w:rPr>
        <w:t>ccompagnement et le suivi psycho-social des</w:t>
      </w:r>
      <w:r w:rsidR="00BC4F0A" w:rsidRPr="00BC4F0A">
        <w:rPr>
          <w:rFonts w:ascii="Calibri" w:eastAsia="Calibri" w:hAnsi="Calibri"/>
        </w:rPr>
        <w:t xml:space="preserve"> </w:t>
      </w:r>
      <w:r w:rsidR="00BC4F0A" w:rsidRPr="00D57568">
        <w:rPr>
          <w:rFonts w:ascii="Calibri" w:eastAsia="Calibri" w:hAnsi="Calibri"/>
        </w:rPr>
        <w:t>migrants Nigériens de retours dans toutes les régions du Niger dans le cadre du programme MPRR de l’OIM NIGER</w:t>
      </w:r>
      <w:r w:rsidR="00BC4F0A">
        <w:rPr>
          <w:rFonts w:ascii="Calibri" w:eastAsia="Calibri" w:hAnsi="Calibri"/>
        </w:rPr>
        <w:t>.</w:t>
      </w:r>
      <w:r w:rsidR="00D57568" w:rsidRPr="00D57568">
        <w:rPr>
          <w:rFonts w:ascii="Calibri" w:eastAsia="Calibri" w:hAnsi="Calibri"/>
        </w:rPr>
        <w:t xml:space="preserve"> </w:t>
      </w:r>
      <w:r w:rsidR="00D57568">
        <w:rPr>
          <w:rFonts w:ascii="Calibri" w:eastAsia="Calibri" w:hAnsi="Calibri"/>
        </w:rPr>
        <w:t xml:space="preserve">                               </w:t>
      </w:r>
    </w:p>
    <w:p w14:paraId="6EA3F758" w14:textId="77777777" w:rsidR="0024366C" w:rsidRPr="00D00051" w:rsidRDefault="00C529A8" w:rsidP="0091364B">
      <w:pPr>
        <w:tabs>
          <w:tab w:val="left" w:pos="840"/>
        </w:tabs>
        <w:spacing w:after="120" w:line="240" w:lineRule="auto"/>
        <w:rPr>
          <w:rFonts w:eastAsia="Arial" w:cstheme="minorHAnsi"/>
        </w:rPr>
      </w:pPr>
      <w:r>
        <w:t>4</w:t>
      </w:r>
      <w:r>
        <w:tab/>
      </w:r>
      <w:r>
        <w:rPr>
          <w:b/>
          <w:i/>
        </w:rPr>
        <w:t>Entité à l’origine de la publication</w:t>
      </w:r>
    </w:p>
    <w:p w14:paraId="640F0759" w14:textId="012BD18B" w:rsidR="0024366C" w:rsidRPr="004C6C67" w:rsidRDefault="00BD6922" w:rsidP="004C6C67">
      <w:pPr>
        <w:spacing w:after="120" w:line="240" w:lineRule="auto"/>
        <w:ind w:firstLine="720"/>
      </w:pPr>
      <w:r>
        <w:t>OIM</w:t>
      </w:r>
    </w:p>
    <w:p w14:paraId="2F99BDB8" w14:textId="782691FB" w:rsidR="0024366C" w:rsidRPr="00D00051" w:rsidRDefault="00C529A8" w:rsidP="0091364B">
      <w:pPr>
        <w:tabs>
          <w:tab w:val="left" w:pos="840"/>
        </w:tabs>
        <w:spacing w:after="120" w:line="240" w:lineRule="auto"/>
        <w:rPr>
          <w:rFonts w:eastAsia="Arial" w:cstheme="minorHAnsi"/>
          <w:b/>
          <w:bCs/>
          <w:i/>
        </w:rPr>
      </w:pPr>
      <w:r>
        <w:t>5</w:t>
      </w:r>
      <w:r>
        <w:tab/>
      </w:r>
      <w:r w:rsidR="00461CB2">
        <w:rPr>
          <w:b/>
          <w:i/>
        </w:rPr>
        <w:t>Contexte dans lequel s’inscrit</w:t>
      </w:r>
      <w:r>
        <w:rPr>
          <w:b/>
          <w:i/>
        </w:rPr>
        <w:t xml:space="preserve"> le projet</w:t>
      </w:r>
    </w:p>
    <w:p w14:paraId="0526711F" w14:textId="77777777" w:rsidR="004C6C67" w:rsidRDefault="004C6C67" w:rsidP="00E64BC8">
      <w:pPr>
        <w:ind w:right="23"/>
        <w:jc w:val="both"/>
      </w:pPr>
      <w:r w:rsidRPr="00C87C3B">
        <w:rPr>
          <w:rFonts w:ascii="Calibri" w:eastAsia="Calibri" w:hAnsi="Calibri"/>
          <w:sz w:val="24"/>
        </w:rPr>
        <w:t>Le retour et la réintégration des migrants qui ne veulent ou ne peuvent pas rester dans un pays d’accueil ou de transit suscitent un regain d’intérêt parmi les décideurs nationaux et internationaux du monde entier. Un nombre croissant de personnes migrent dans le cadre de mouvements mixtes de plus en plus complexes, et se trouvent souvent bloquées ou en situation irrégulière pendant des périodes prolongées</w:t>
      </w:r>
      <w:r>
        <w:rPr>
          <w:rFonts w:ascii="Calibri" w:eastAsia="Calibri" w:hAnsi="Calibri"/>
          <w:sz w:val="24"/>
        </w:rPr>
        <w:t>.</w:t>
      </w:r>
      <w:r>
        <w:t xml:space="preserve"> </w:t>
      </w:r>
    </w:p>
    <w:p w14:paraId="24FCA8BF" w14:textId="473CC3AE" w:rsidR="00BC4F0A" w:rsidRPr="004C6C67" w:rsidRDefault="00BC4F0A" w:rsidP="00E64BC8">
      <w:pPr>
        <w:ind w:right="23"/>
        <w:jc w:val="both"/>
      </w:pPr>
      <w:r w:rsidRPr="00BC4F0A">
        <w:rPr>
          <w:rFonts w:ascii="Calibri" w:eastAsia="Calibri" w:hAnsi="Calibri"/>
          <w:sz w:val="24"/>
        </w:rPr>
        <w:t>Le</w:t>
      </w:r>
      <w:r>
        <w:rPr>
          <w:rFonts w:ascii="Calibri" w:eastAsia="Calibri" w:hAnsi="Calibri"/>
          <w:sz w:val="24"/>
        </w:rPr>
        <w:t xml:space="preserve"> Niger fait partie des 14 pays qui mettent en œuvre le</w:t>
      </w:r>
      <w:r w:rsidRPr="00BC4F0A">
        <w:rPr>
          <w:rFonts w:ascii="Calibri" w:eastAsia="Calibri" w:hAnsi="Calibri"/>
          <w:sz w:val="24"/>
        </w:rPr>
        <w:t xml:space="preserve"> programme de Protection, de Retour et de Réintégration des migrants en Afrique subsaharienne (MPRR-SSA) financé par l’UE</w:t>
      </w:r>
      <w:r>
        <w:rPr>
          <w:rFonts w:ascii="Calibri" w:eastAsia="Calibri" w:hAnsi="Calibri"/>
          <w:sz w:val="24"/>
        </w:rPr>
        <w:t xml:space="preserve">. Dans le cadre de ce programme, il est prévu l’accompagnement et l’assistance au retour volontaire et à la réintégration de plus de 4000 nigériens vulnérables bloqués ou en situation irrégulière. A cet effet, plusieurs services sont </w:t>
      </w:r>
      <w:r w:rsidR="004C6C67">
        <w:rPr>
          <w:rFonts w:ascii="Calibri" w:eastAsia="Calibri" w:hAnsi="Calibri"/>
          <w:sz w:val="24"/>
        </w:rPr>
        <w:t>requis afin de permettre</w:t>
      </w:r>
      <w:r>
        <w:rPr>
          <w:rFonts w:ascii="Calibri" w:eastAsia="Calibri" w:hAnsi="Calibri"/>
          <w:sz w:val="24"/>
        </w:rPr>
        <w:t xml:space="preserve"> la réintégration durable des </w:t>
      </w:r>
      <w:r w:rsidR="004C6C67">
        <w:rPr>
          <w:rFonts w:ascii="Calibri" w:eastAsia="Calibri" w:hAnsi="Calibri"/>
          <w:sz w:val="24"/>
        </w:rPr>
        <w:t>Nigériens</w:t>
      </w:r>
      <w:r>
        <w:rPr>
          <w:rFonts w:ascii="Calibri" w:eastAsia="Calibri" w:hAnsi="Calibri"/>
          <w:sz w:val="24"/>
        </w:rPr>
        <w:t xml:space="preserve"> </w:t>
      </w:r>
      <w:r w:rsidR="004C6C67">
        <w:rPr>
          <w:rFonts w:ascii="Calibri" w:eastAsia="Calibri" w:hAnsi="Calibri"/>
          <w:sz w:val="24"/>
        </w:rPr>
        <w:t>sur</w:t>
      </w:r>
      <w:r>
        <w:rPr>
          <w:rFonts w:ascii="Calibri" w:eastAsia="Calibri" w:hAnsi="Calibri"/>
          <w:sz w:val="24"/>
        </w:rPr>
        <w:t xml:space="preserve"> le plan économique, social et psychosociale. </w:t>
      </w:r>
    </w:p>
    <w:p w14:paraId="5F174515" w14:textId="4336EB4D" w:rsidR="00146B6E" w:rsidRPr="00726639" w:rsidRDefault="00C529A8" w:rsidP="0091364B">
      <w:pPr>
        <w:tabs>
          <w:tab w:val="left" w:pos="840"/>
        </w:tabs>
        <w:spacing w:after="120" w:line="240" w:lineRule="auto"/>
        <w:rPr>
          <w:rFonts w:eastAsia="Arial" w:cstheme="minorHAnsi"/>
        </w:rPr>
      </w:pPr>
      <w:r>
        <w:t>6</w:t>
      </w:r>
      <w:r>
        <w:tab/>
      </w:r>
      <w:r>
        <w:rPr>
          <w:b/>
          <w:i/>
        </w:rPr>
        <w:t>Résultats escomptés</w:t>
      </w:r>
    </w:p>
    <w:p w14:paraId="7AD65B4F" w14:textId="77777777" w:rsidR="006D57BD" w:rsidRPr="006D57BD" w:rsidRDefault="006D57BD" w:rsidP="006D57BD">
      <w:pPr>
        <w:tabs>
          <w:tab w:val="left" w:pos="840"/>
        </w:tabs>
        <w:spacing w:after="120" w:line="240" w:lineRule="auto"/>
        <w:rPr>
          <w:b/>
          <w:bCs/>
        </w:rPr>
      </w:pPr>
      <w:r w:rsidRPr="006D57BD">
        <w:rPr>
          <w:b/>
          <w:bCs/>
        </w:rPr>
        <w:t>Programmation SMSPS contextualisée</w:t>
      </w:r>
    </w:p>
    <w:p w14:paraId="5E23BA4F" w14:textId="068D0E8F" w:rsidR="004C6C67" w:rsidRDefault="004C6C67" w:rsidP="00ED24B6">
      <w:pPr>
        <w:numPr>
          <w:ilvl w:val="0"/>
          <w:numId w:val="4"/>
        </w:numPr>
        <w:tabs>
          <w:tab w:val="left" w:pos="840"/>
        </w:tabs>
        <w:spacing w:after="120" w:line="240" w:lineRule="auto"/>
      </w:pPr>
      <w:r w:rsidRPr="004F39A3">
        <w:t>Mener une évaluation psychosociale comme première étape, en utilisant les outils de l’OIM ou d'autres outils standardisés convenus.</w:t>
      </w:r>
    </w:p>
    <w:p w14:paraId="6AD39C8B" w14:textId="4FFDFEC5" w:rsidR="004F39A3" w:rsidRPr="004F39A3" w:rsidRDefault="004F39A3" w:rsidP="00ED24B6">
      <w:pPr>
        <w:numPr>
          <w:ilvl w:val="0"/>
          <w:numId w:val="4"/>
        </w:numPr>
        <w:tabs>
          <w:tab w:val="left" w:pos="840"/>
        </w:tabs>
        <w:spacing w:after="120" w:line="240" w:lineRule="auto"/>
      </w:pPr>
      <w:r w:rsidRPr="004F39A3">
        <w:lastRenderedPageBreak/>
        <w:t xml:space="preserve">L’élaboration d’une stratégie et des outils d’intervention pour l’appui </w:t>
      </w:r>
      <w:r w:rsidR="004C6C67">
        <w:t xml:space="preserve">à </w:t>
      </w:r>
      <w:r w:rsidRPr="004F39A3">
        <w:t>la </w:t>
      </w:r>
      <w:r w:rsidRPr="004F39A3">
        <w:rPr>
          <w:i/>
          <w:iCs/>
        </w:rPr>
        <w:t xml:space="preserve">Santé mentale et </w:t>
      </w:r>
      <w:r w:rsidR="004C6C67">
        <w:rPr>
          <w:i/>
          <w:iCs/>
        </w:rPr>
        <w:t xml:space="preserve">au </w:t>
      </w:r>
      <w:r w:rsidRPr="004F39A3">
        <w:rPr>
          <w:i/>
          <w:iCs/>
        </w:rPr>
        <w:t>soutien psychosocial (SMSPS</w:t>
      </w:r>
      <w:r w:rsidRPr="004F39A3">
        <w:t>) des migrants Nigérien de retours.</w:t>
      </w:r>
    </w:p>
    <w:p w14:paraId="53297FF3" w14:textId="77777777" w:rsidR="004F39A3" w:rsidRPr="004F39A3" w:rsidRDefault="004F39A3" w:rsidP="00ED24B6">
      <w:pPr>
        <w:numPr>
          <w:ilvl w:val="0"/>
          <w:numId w:val="4"/>
        </w:numPr>
        <w:tabs>
          <w:tab w:val="left" w:pos="840"/>
        </w:tabs>
        <w:spacing w:after="120" w:line="240" w:lineRule="auto"/>
      </w:pPr>
      <w:r w:rsidRPr="004F39A3">
        <w:t xml:space="preserve">Concevoir et mettre en œuvre des interventions </w:t>
      </w:r>
      <w:r w:rsidRPr="004F39A3">
        <w:rPr>
          <w:i/>
          <w:iCs/>
        </w:rPr>
        <w:t xml:space="preserve">SMSPS </w:t>
      </w:r>
      <w:r w:rsidRPr="004F39A3">
        <w:t>adaptées culturellement et sensibles au genre, répondant aux besoins des Nigérians de retour.</w:t>
      </w:r>
    </w:p>
    <w:p w14:paraId="7A1E6610" w14:textId="77777777" w:rsidR="004F39A3" w:rsidRPr="004F39A3" w:rsidRDefault="004F39A3" w:rsidP="00ED24B6">
      <w:pPr>
        <w:numPr>
          <w:ilvl w:val="0"/>
          <w:numId w:val="4"/>
        </w:numPr>
        <w:tabs>
          <w:tab w:val="left" w:pos="840"/>
        </w:tabs>
        <w:spacing w:after="120" w:line="240" w:lineRule="auto"/>
      </w:pPr>
      <w:r w:rsidRPr="004F39A3">
        <w:t>Prendre en compte la détresse psychosociale liés à la migration, au retour et aux défis de la réintégration pour renforcer la résilience.</w:t>
      </w:r>
    </w:p>
    <w:p w14:paraId="275CDEF6" w14:textId="6C743E2B" w:rsidR="004F39A3" w:rsidRPr="004F39A3" w:rsidRDefault="004F39A3" w:rsidP="00ED24B6">
      <w:pPr>
        <w:numPr>
          <w:ilvl w:val="0"/>
          <w:numId w:val="4"/>
        </w:numPr>
        <w:tabs>
          <w:tab w:val="left" w:pos="840"/>
        </w:tabs>
        <w:spacing w:after="120" w:line="240" w:lineRule="auto"/>
      </w:pPr>
      <w:r w:rsidRPr="004F39A3">
        <w:t xml:space="preserve">Fournir des services </w:t>
      </w:r>
      <w:r w:rsidR="00C25F98">
        <w:t>SMSPS</w:t>
      </w:r>
      <w:r w:rsidRPr="004F39A3">
        <w:t xml:space="preserve"> ciblés pour les personnes qui en ont besoin en incluant la gestion des cas, et assurer l’orientation vers des services spécialisés pour celles qui le nécessitent</w:t>
      </w:r>
      <w:r w:rsidR="004C6C67">
        <w:t>.</w:t>
      </w:r>
    </w:p>
    <w:p w14:paraId="30E24C6C" w14:textId="4281D6A1" w:rsidR="004F39A3" w:rsidRPr="004F39A3" w:rsidRDefault="004F39A3" w:rsidP="00ED24B6">
      <w:pPr>
        <w:numPr>
          <w:ilvl w:val="0"/>
          <w:numId w:val="4"/>
        </w:numPr>
        <w:tabs>
          <w:tab w:val="left" w:pos="840"/>
        </w:tabs>
        <w:spacing w:after="120" w:line="240" w:lineRule="auto"/>
      </w:pPr>
      <w:r w:rsidRPr="004F39A3">
        <w:t>Soutien aux défis de réintégration tels que la réunification familiale et l’acceptation sociale</w:t>
      </w:r>
      <w:r w:rsidR="004C6C67">
        <w:t>.</w:t>
      </w:r>
    </w:p>
    <w:p w14:paraId="749AA8E4" w14:textId="0A13C49F" w:rsidR="004F39A3" w:rsidRPr="004F39A3" w:rsidRDefault="004F39A3" w:rsidP="00ED24B6">
      <w:pPr>
        <w:numPr>
          <w:ilvl w:val="0"/>
          <w:numId w:val="4"/>
        </w:numPr>
        <w:tabs>
          <w:tab w:val="left" w:pos="840"/>
        </w:tabs>
        <w:spacing w:after="120" w:line="240" w:lineRule="auto"/>
      </w:pPr>
      <w:r w:rsidRPr="004F39A3">
        <w:t xml:space="preserve">Intégration de l’éducation psychologique </w:t>
      </w:r>
      <w:r w:rsidR="00C25F98">
        <w:t>SMSPS</w:t>
      </w:r>
      <w:r w:rsidRPr="004F39A3">
        <w:t xml:space="preserve"> dans les formations aux compétences entrepreneuriales</w:t>
      </w:r>
      <w:r w:rsidR="004C6C67">
        <w:t>.</w:t>
      </w:r>
    </w:p>
    <w:p w14:paraId="6C4E34FA" w14:textId="77777777" w:rsidR="004F39A3" w:rsidRPr="004F39A3" w:rsidRDefault="004F39A3" w:rsidP="004F39A3">
      <w:pPr>
        <w:tabs>
          <w:tab w:val="left" w:pos="840"/>
        </w:tabs>
        <w:spacing w:after="120" w:line="240" w:lineRule="auto"/>
      </w:pPr>
      <w:r w:rsidRPr="004F39A3">
        <w:t> </w:t>
      </w:r>
    </w:p>
    <w:p w14:paraId="0F53484B" w14:textId="77777777" w:rsidR="004F39A3" w:rsidRPr="004F39A3" w:rsidRDefault="004F39A3" w:rsidP="004F39A3">
      <w:pPr>
        <w:tabs>
          <w:tab w:val="left" w:pos="840"/>
        </w:tabs>
        <w:spacing w:after="120" w:line="240" w:lineRule="auto"/>
      </w:pPr>
      <w:r w:rsidRPr="004F39A3">
        <w:rPr>
          <w:b/>
          <w:bCs/>
        </w:rPr>
        <w:t>Taille et capacité en ressources humaines du partenaire de mise en œuvre :</w:t>
      </w:r>
    </w:p>
    <w:p w14:paraId="09092743" w14:textId="286C6FD0" w:rsidR="004F39A3" w:rsidRPr="004F39A3" w:rsidRDefault="004F39A3" w:rsidP="00ED24B6">
      <w:pPr>
        <w:numPr>
          <w:ilvl w:val="0"/>
          <w:numId w:val="5"/>
        </w:numPr>
        <w:tabs>
          <w:tab w:val="left" w:pos="840"/>
        </w:tabs>
        <w:spacing w:after="120" w:line="240" w:lineRule="auto"/>
      </w:pPr>
      <w:r w:rsidRPr="004F39A3">
        <w:t xml:space="preserve">Capable de déployer à travers le pays une équipe </w:t>
      </w:r>
      <w:r w:rsidR="00C25F98">
        <w:t>SMSPS</w:t>
      </w:r>
      <w:r w:rsidRPr="004F39A3">
        <w:t xml:space="preserve"> comprenant des psychologues, des agents de suivi de cas, des travailleurs sociaux, des infirmiers psychiatriques bien formés, capables de répondre aux besoins de 2000 bénéficiaires, en plus du superviseur </w:t>
      </w:r>
      <w:r w:rsidR="00C25F98">
        <w:t>SMSPS</w:t>
      </w:r>
      <w:r w:rsidRPr="004F39A3">
        <w:t xml:space="preserve"> pour gérer et guider l’équipe.</w:t>
      </w:r>
    </w:p>
    <w:p w14:paraId="3F33E9CA" w14:textId="336AAAFB" w:rsidR="004F39A3" w:rsidRPr="004F39A3" w:rsidRDefault="004F39A3" w:rsidP="00ED24B6">
      <w:pPr>
        <w:numPr>
          <w:ilvl w:val="0"/>
          <w:numId w:val="5"/>
        </w:numPr>
        <w:tabs>
          <w:tab w:val="left" w:pos="840"/>
        </w:tabs>
        <w:spacing w:after="120" w:line="240" w:lineRule="auto"/>
      </w:pPr>
      <w:r w:rsidRPr="004F39A3">
        <w:t>Avoir une composante forte de supervision pour garantir la qualité des services, ainsi qu’une composante de soutien au personnel afin d’assurer le bien-être des équipes</w:t>
      </w:r>
      <w:r w:rsidR="004C6C67">
        <w:t>.</w:t>
      </w:r>
    </w:p>
    <w:p w14:paraId="459CC9EB" w14:textId="77777777" w:rsidR="004F39A3" w:rsidRPr="004F39A3" w:rsidRDefault="004F39A3" w:rsidP="004F39A3">
      <w:pPr>
        <w:tabs>
          <w:tab w:val="left" w:pos="840"/>
        </w:tabs>
        <w:spacing w:after="120" w:line="240" w:lineRule="auto"/>
      </w:pPr>
      <w:r w:rsidRPr="004F39A3">
        <w:rPr>
          <w:b/>
          <w:bCs/>
        </w:rPr>
        <w:t>Services de soutien à plusieurs niveaux</w:t>
      </w:r>
    </w:p>
    <w:p w14:paraId="2AFB068D" w14:textId="0780A416" w:rsidR="004F39A3" w:rsidRPr="004F39A3" w:rsidRDefault="004F39A3" w:rsidP="00ED24B6">
      <w:pPr>
        <w:numPr>
          <w:ilvl w:val="0"/>
          <w:numId w:val="6"/>
        </w:numPr>
        <w:tabs>
          <w:tab w:val="left" w:pos="840"/>
        </w:tabs>
        <w:spacing w:after="120" w:line="240" w:lineRule="auto"/>
      </w:pPr>
      <w:r w:rsidRPr="004F39A3">
        <w:t xml:space="preserve">Fournir une gamme de services conformes à la pyramide </w:t>
      </w:r>
      <w:r w:rsidR="00AA474F">
        <w:t>SMSPS</w:t>
      </w:r>
      <w:r w:rsidRPr="004F39A3">
        <w:t xml:space="preserve"> du IASC (Inter-Agency Standing </w:t>
      </w:r>
      <w:proofErr w:type="spellStart"/>
      <w:r w:rsidRPr="004F39A3">
        <w:t>Committee</w:t>
      </w:r>
      <w:proofErr w:type="spellEnd"/>
      <w:r w:rsidRPr="004F39A3">
        <w:t>) :</w:t>
      </w:r>
    </w:p>
    <w:p w14:paraId="7B372251" w14:textId="77777777" w:rsidR="004F39A3" w:rsidRPr="004F39A3" w:rsidRDefault="004F39A3" w:rsidP="00ED24B6">
      <w:pPr>
        <w:numPr>
          <w:ilvl w:val="0"/>
          <w:numId w:val="6"/>
        </w:numPr>
        <w:tabs>
          <w:tab w:val="left" w:pos="840"/>
        </w:tabs>
        <w:spacing w:after="120" w:line="240" w:lineRule="auto"/>
      </w:pPr>
      <w:r w:rsidRPr="004F39A3">
        <w:t>Soutiens communautaires et familiaux comme L’organisation des séances psycho-éducatives et de sensibilisation au profit des migrants de retours et les membres de leurs communautés d’accueils, l’engagement et la médiation familiale, activités récréatives, créatives et socio-culturelles.</w:t>
      </w:r>
    </w:p>
    <w:p w14:paraId="0D2C6821" w14:textId="77777777" w:rsidR="004F39A3" w:rsidRPr="004F39A3" w:rsidRDefault="004F39A3" w:rsidP="00ED24B6">
      <w:pPr>
        <w:numPr>
          <w:ilvl w:val="0"/>
          <w:numId w:val="6"/>
        </w:numPr>
        <w:tabs>
          <w:tab w:val="left" w:pos="840"/>
        </w:tabs>
        <w:spacing w:after="120" w:line="240" w:lineRule="auto"/>
      </w:pPr>
      <w:r w:rsidRPr="004F39A3">
        <w:t>Soutiens spécialisés ou non spécialisés (ex. : entretien psychosociaux individuelles, collectives ou familiales)</w:t>
      </w:r>
    </w:p>
    <w:p w14:paraId="45B156AA" w14:textId="2F484598" w:rsidR="004F39A3" w:rsidRPr="004F39A3" w:rsidRDefault="004F39A3" w:rsidP="00ED24B6">
      <w:pPr>
        <w:numPr>
          <w:ilvl w:val="0"/>
          <w:numId w:val="6"/>
        </w:numPr>
        <w:tabs>
          <w:tab w:val="left" w:pos="840"/>
        </w:tabs>
        <w:spacing w:after="120" w:line="240" w:lineRule="auto"/>
      </w:pPr>
      <w:r w:rsidRPr="004F39A3">
        <w:t>Orientation vers des services spécialisés (si disponibles) en disposant d’une cartographie solide des partenaires de référence ainsi que de protocoles de référencement en place.</w:t>
      </w:r>
    </w:p>
    <w:p w14:paraId="3F568DB3" w14:textId="77777777" w:rsidR="004F39A3" w:rsidRPr="004F39A3" w:rsidRDefault="004F39A3" w:rsidP="004F39A3">
      <w:pPr>
        <w:tabs>
          <w:tab w:val="left" w:pos="840"/>
        </w:tabs>
        <w:spacing w:after="120" w:line="240" w:lineRule="auto"/>
      </w:pPr>
      <w:r w:rsidRPr="004F39A3">
        <w:rPr>
          <w:b/>
          <w:bCs/>
        </w:rPr>
        <w:t>Renforcement des capacités et formation</w:t>
      </w:r>
    </w:p>
    <w:p w14:paraId="7686F2FA" w14:textId="0B8F153B" w:rsidR="004F39A3" w:rsidRPr="004F39A3" w:rsidRDefault="004F39A3" w:rsidP="00ED24B6">
      <w:pPr>
        <w:numPr>
          <w:ilvl w:val="0"/>
          <w:numId w:val="7"/>
        </w:numPr>
        <w:tabs>
          <w:tab w:val="left" w:pos="840"/>
        </w:tabs>
        <w:spacing w:after="120" w:line="240" w:lineRule="auto"/>
      </w:pPr>
      <w:r w:rsidRPr="004F39A3">
        <w:t xml:space="preserve">Former et superviser le personnel local et les bénévoles communautaires aux principes </w:t>
      </w:r>
      <w:r w:rsidR="00AA474F">
        <w:t>SMSPS</w:t>
      </w:r>
      <w:r w:rsidRPr="004F39A3">
        <w:t>, aux premiers secours en santé mentale ( PSSM, à la gestion des cas et a l’approche de mentorat</w:t>
      </w:r>
    </w:p>
    <w:p w14:paraId="3638511F" w14:textId="5D1F9CDF" w:rsidR="004F39A3" w:rsidRPr="004F39A3" w:rsidRDefault="004F39A3" w:rsidP="00ED24B6">
      <w:pPr>
        <w:numPr>
          <w:ilvl w:val="0"/>
          <w:numId w:val="7"/>
        </w:numPr>
        <w:tabs>
          <w:tab w:val="left" w:pos="840"/>
        </w:tabs>
        <w:spacing w:after="120" w:line="240" w:lineRule="auto"/>
      </w:pPr>
      <w:r w:rsidRPr="004F39A3">
        <w:t>Inclure éventuellement des formations spécifiques sur la détresse psychologique liée à la migration et au stress de la réintégration.</w:t>
      </w:r>
    </w:p>
    <w:p w14:paraId="298CDC4B" w14:textId="77777777" w:rsidR="004F39A3" w:rsidRPr="004F39A3" w:rsidRDefault="004F39A3" w:rsidP="004F39A3">
      <w:pPr>
        <w:tabs>
          <w:tab w:val="left" w:pos="840"/>
        </w:tabs>
        <w:spacing w:after="120" w:line="240" w:lineRule="auto"/>
        <w:rPr>
          <w:lang w:val="en-US"/>
        </w:rPr>
      </w:pPr>
      <w:r w:rsidRPr="004F39A3">
        <w:rPr>
          <w:b/>
          <w:bCs/>
          <w:lang w:val="en-US"/>
        </w:rPr>
        <w:t xml:space="preserve">Engagement </w:t>
      </w:r>
      <w:proofErr w:type="spellStart"/>
      <w:r w:rsidRPr="004F39A3">
        <w:rPr>
          <w:b/>
          <w:bCs/>
          <w:lang w:val="en-US"/>
        </w:rPr>
        <w:t>communautaire</w:t>
      </w:r>
      <w:proofErr w:type="spellEnd"/>
      <w:r w:rsidRPr="004F39A3">
        <w:rPr>
          <w:b/>
          <w:bCs/>
          <w:lang w:val="en-US"/>
        </w:rPr>
        <w:t xml:space="preserve"> et </w:t>
      </w:r>
      <w:proofErr w:type="spellStart"/>
      <w:r w:rsidRPr="004F39A3">
        <w:rPr>
          <w:b/>
          <w:bCs/>
          <w:lang w:val="en-US"/>
        </w:rPr>
        <w:t>sensibilisation</w:t>
      </w:r>
      <w:proofErr w:type="spellEnd"/>
    </w:p>
    <w:p w14:paraId="1BEBEE68" w14:textId="197C17D1" w:rsidR="004F39A3" w:rsidRPr="004F39A3" w:rsidRDefault="004F39A3" w:rsidP="00ED24B6">
      <w:pPr>
        <w:numPr>
          <w:ilvl w:val="0"/>
          <w:numId w:val="8"/>
        </w:numPr>
        <w:tabs>
          <w:tab w:val="left" w:pos="840"/>
        </w:tabs>
        <w:spacing w:after="120" w:line="240" w:lineRule="auto"/>
      </w:pPr>
      <w:r w:rsidRPr="004F39A3">
        <w:t xml:space="preserve">Mobiliser les communautés pour sensibiliser aux besoins </w:t>
      </w:r>
      <w:r w:rsidR="00C25F98">
        <w:t>SMSPS</w:t>
      </w:r>
      <w:r w:rsidRPr="004F39A3">
        <w:t xml:space="preserve"> et réduire la stigmatisation autour de la santé mentale.</w:t>
      </w:r>
    </w:p>
    <w:p w14:paraId="4525D85C" w14:textId="77777777" w:rsidR="004F39A3" w:rsidRPr="004F39A3" w:rsidRDefault="004F39A3" w:rsidP="00ED24B6">
      <w:pPr>
        <w:numPr>
          <w:ilvl w:val="0"/>
          <w:numId w:val="8"/>
        </w:numPr>
        <w:tabs>
          <w:tab w:val="left" w:pos="840"/>
        </w:tabs>
        <w:spacing w:after="120" w:line="240" w:lineRule="auto"/>
      </w:pPr>
      <w:r w:rsidRPr="004F39A3">
        <w:t>Mettre en place des groupes de soutien par les pairs ou des espaces sécurisés comme à travers des mentors</w:t>
      </w:r>
    </w:p>
    <w:p w14:paraId="57EA0D53" w14:textId="77777777" w:rsidR="004F39A3" w:rsidRPr="004F39A3" w:rsidRDefault="004F39A3" w:rsidP="004F39A3">
      <w:pPr>
        <w:tabs>
          <w:tab w:val="left" w:pos="840"/>
        </w:tabs>
        <w:spacing w:after="120" w:line="240" w:lineRule="auto"/>
        <w:rPr>
          <w:lang w:val="en-US"/>
        </w:rPr>
      </w:pPr>
      <w:r w:rsidRPr="004F39A3">
        <w:rPr>
          <w:b/>
          <w:bCs/>
          <w:lang w:val="en-US"/>
        </w:rPr>
        <w:t>Coordination et collaboration</w:t>
      </w:r>
    </w:p>
    <w:p w14:paraId="490E0311" w14:textId="77777777" w:rsidR="004F39A3" w:rsidRPr="004F39A3" w:rsidRDefault="004F39A3" w:rsidP="00ED24B6">
      <w:pPr>
        <w:numPr>
          <w:ilvl w:val="0"/>
          <w:numId w:val="9"/>
        </w:numPr>
        <w:tabs>
          <w:tab w:val="left" w:pos="840"/>
        </w:tabs>
        <w:spacing w:after="120" w:line="240" w:lineRule="auto"/>
      </w:pPr>
      <w:r w:rsidRPr="004F39A3">
        <w:t>Travailler en étroite collaboration avec l’OIM, les autres acteurs humanitaires, les autorités locales et les services de santé/psychosociaux existants.</w:t>
      </w:r>
    </w:p>
    <w:p w14:paraId="39987BD1" w14:textId="77777777" w:rsidR="004F39A3" w:rsidRPr="004F39A3" w:rsidRDefault="004F39A3" w:rsidP="00ED24B6">
      <w:pPr>
        <w:numPr>
          <w:ilvl w:val="0"/>
          <w:numId w:val="9"/>
        </w:numPr>
        <w:tabs>
          <w:tab w:val="left" w:pos="840"/>
        </w:tabs>
        <w:spacing w:after="120" w:line="240" w:lineRule="auto"/>
      </w:pPr>
      <w:r w:rsidRPr="004F39A3">
        <w:t>Participer aux mécanismes de coordination et aux réseaux de référence.</w:t>
      </w:r>
    </w:p>
    <w:p w14:paraId="29D2D632" w14:textId="77777777" w:rsidR="004F39A3" w:rsidRPr="004F39A3" w:rsidRDefault="004F39A3" w:rsidP="004F39A3">
      <w:pPr>
        <w:tabs>
          <w:tab w:val="left" w:pos="840"/>
        </w:tabs>
        <w:spacing w:after="120" w:line="240" w:lineRule="auto"/>
      </w:pPr>
      <w:r w:rsidRPr="004F39A3">
        <w:rPr>
          <w:b/>
          <w:bCs/>
        </w:rPr>
        <w:t>Suivi, évaluation, redevabilité et apprentissage (MEAL)</w:t>
      </w:r>
    </w:p>
    <w:p w14:paraId="18700AC4" w14:textId="77777777" w:rsidR="004F39A3" w:rsidRPr="004F39A3" w:rsidRDefault="004F39A3" w:rsidP="00ED24B6">
      <w:pPr>
        <w:numPr>
          <w:ilvl w:val="0"/>
          <w:numId w:val="10"/>
        </w:numPr>
        <w:tabs>
          <w:tab w:val="left" w:pos="840"/>
        </w:tabs>
        <w:spacing w:after="120" w:line="240" w:lineRule="auto"/>
        <w:rPr>
          <w:lang w:val="en-US"/>
        </w:rPr>
      </w:pPr>
      <w:r w:rsidRPr="004F39A3">
        <w:t xml:space="preserve">Mettre en place des mécanismes pour suivre les bénéficiaires, mesurer les résultats et adapter les interventions si nécessaire. </w:t>
      </w:r>
      <w:r w:rsidRPr="004F39A3">
        <w:rPr>
          <w:lang w:val="en-US"/>
        </w:rPr>
        <w:t>Les </w:t>
      </w:r>
      <w:proofErr w:type="spellStart"/>
      <w:r w:rsidRPr="004F39A3">
        <w:rPr>
          <w:lang w:val="en-US"/>
        </w:rPr>
        <w:t>outils</w:t>
      </w:r>
      <w:proofErr w:type="spellEnd"/>
      <w:r w:rsidRPr="004F39A3">
        <w:rPr>
          <w:lang w:val="en-US"/>
        </w:rPr>
        <w:t xml:space="preserve"> à </w:t>
      </w:r>
      <w:proofErr w:type="spellStart"/>
      <w:r w:rsidRPr="004F39A3">
        <w:rPr>
          <w:lang w:val="en-US"/>
        </w:rPr>
        <w:t>etre</w:t>
      </w:r>
      <w:proofErr w:type="spellEnd"/>
      <w:r w:rsidRPr="004F39A3">
        <w:rPr>
          <w:lang w:val="en-US"/>
        </w:rPr>
        <w:t xml:space="preserve"> </w:t>
      </w:r>
      <w:proofErr w:type="spellStart"/>
      <w:r w:rsidRPr="004F39A3">
        <w:rPr>
          <w:lang w:val="en-US"/>
        </w:rPr>
        <w:t>valider</w:t>
      </w:r>
      <w:proofErr w:type="spellEnd"/>
      <w:r w:rsidRPr="004F39A3">
        <w:rPr>
          <w:lang w:val="en-US"/>
        </w:rPr>
        <w:t xml:space="preserve"> par </w:t>
      </w:r>
      <w:proofErr w:type="spellStart"/>
      <w:r w:rsidRPr="004F39A3">
        <w:rPr>
          <w:lang w:val="en-US"/>
        </w:rPr>
        <w:t>l’OIM</w:t>
      </w:r>
      <w:proofErr w:type="spellEnd"/>
    </w:p>
    <w:p w14:paraId="1D59C970" w14:textId="77777777" w:rsidR="004F39A3" w:rsidRPr="004F39A3" w:rsidRDefault="004F39A3" w:rsidP="00ED24B6">
      <w:pPr>
        <w:numPr>
          <w:ilvl w:val="0"/>
          <w:numId w:val="10"/>
        </w:numPr>
        <w:tabs>
          <w:tab w:val="left" w:pos="840"/>
        </w:tabs>
        <w:spacing w:after="120" w:line="240" w:lineRule="auto"/>
      </w:pPr>
      <w:r w:rsidRPr="004F39A3">
        <w:t>Assurer la présence de mécanismes de retour d’information et de traitement des plaintes.</w:t>
      </w:r>
    </w:p>
    <w:p w14:paraId="21AA7335" w14:textId="57FF195F" w:rsidR="004F39A3" w:rsidRPr="004F39A3" w:rsidRDefault="004F39A3" w:rsidP="00ED24B6">
      <w:pPr>
        <w:numPr>
          <w:ilvl w:val="0"/>
          <w:numId w:val="10"/>
        </w:numPr>
        <w:tabs>
          <w:tab w:val="left" w:pos="840"/>
        </w:tabs>
        <w:spacing w:after="120" w:line="240" w:lineRule="auto"/>
      </w:pPr>
      <w:r w:rsidRPr="004F39A3">
        <w:lastRenderedPageBreak/>
        <w:t>Fournir à l’OIM un rapport intérimaire et un rapport final narratif et financiers. Les rapports descriptifs devront rendre compte des activités réalisées et des résultats obtenus lors de la période considérée selon le contrat qui sera établit. Ils devront être analytiques, présenter les difficultés et les points faibles, et proposer des solutions. Le rapport descriptif final devra résumer l’ensemble des activités et indiquer dans quelle mesure les objectifs ont été atteints. Les rapports financiers devront rendre compte de l’utilisation qui a été faite de la contribution de l’OIM au cours de la période considérée selon le contrat qui sera établit.</w:t>
      </w:r>
    </w:p>
    <w:p w14:paraId="23127B2B" w14:textId="77777777" w:rsidR="004F39A3" w:rsidRPr="004F39A3" w:rsidRDefault="004F39A3" w:rsidP="004F39A3">
      <w:pPr>
        <w:tabs>
          <w:tab w:val="left" w:pos="840"/>
        </w:tabs>
        <w:spacing w:after="120" w:line="240" w:lineRule="auto"/>
      </w:pPr>
      <w:r w:rsidRPr="004F39A3">
        <w:rPr>
          <w:b/>
          <w:bCs/>
        </w:rPr>
        <w:t>Lien avec la protection et les références</w:t>
      </w:r>
    </w:p>
    <w:p w14:paraId="170BDBF8" w14:textId="77777777" w:rsidR="004F39A3" w:rsidRPr="004F39A3" w:rsidRDefault="004F39A3" w:rsidP="00ED24B6">
      <w:pPr>
        <w:numPr>
          <w:ilvl w:val="0"/>
          <w:numId w:val="11"/>
        </w:numPr>
        <w:tabs>
          <w:tab w:val="left" w:pos="840"/>
        </w:tabs>
        <w:spacing w:after="120" w:line="240" w:lineRule="auto"/>
      </w:pPr>
      <w:r w:rsidRPr="004F39A3">
        <w:t>Identifier et orienter les personnes nécessitant des services spécialisés en santé mentale ou protection.</w:t>
      </w:r>
    </w:p>
    <w:p w14:paraId="3D02672D" w14:textId="77777777" w:rsidR="004F39A3" w:rsidRPr="004F39A3" w:rsidRDefault="004F39A3" w:rsidP="00ED24B6">
      <w:pPr>
        <w:numPr>
          <w:ilvl w:val="0"/>
          <w:numId w:val="11"/>
        </w:numPr>
        <w:tabs>
          <w:tab w:val="left" w:pos="840"/>
        </w:tabs>
        <w:spacing w:after="120" w:line="240" w:lineRule="auto"/>
      </w:pPr>
      <w:r w:rsidRPr="004F39A3">
        <w:t>Soutenir l’intégration avec les services de protection et sociaux.</w:t>
      </w:r>
    </w:p>
    <w:p w14:paraId="203CF806" w14:textId="77777777" w:rsidR="004F39A3" w:rsidRPr="004F39A3" w:rsidRDefault="004F39A3" w:rsidP="004F39A3">
      <w:pPr>
        <w:tabs>
          <w:tab w:val="left" w:pos="840"/>
        </w:tabs>
        <w:spacing w:after="120" w:line="240" w:lineRule="auto"/>
        <w:rPr>
          <w:lang w:val="en-US"/>
        </w:rPr>
      </w:pPr>
      <w:r w:rsidRPr="004F39A3">
        <w:rPr>
          <w:b/>
          <w:bCs/>
          <w:lang w:val="en-US"/>
        </w:rPr>
        <w:t xml:space="preserve">Pratiques </w:t>
      </w:r>
      <w:proofErr w:type="spellStart"/>
      <w:r w:rsidRPr="004F39A3">
        <w:rPr>
          <w:b/>
          <w:bCs/>
          <w:lang w:val="en-US"/>
        </w:rPr>
        <w:t>éthiques</w:t>
      </w:r>
      <w:proofErr w:type="spellEnd"/>
      <w:r w:rsidRPr="004F39A3">
        <w:rPr>
          <w:b/>
          <w:bCs/>
          <w:lang w:val="en-US"/>
        </w:rPr>
        <w:t xml:space="preserve"> et </w:t>
      </w:r>
      <w:proofErr w:type="spellStart"/>
      <w:r w:rsidRPr="004F39A3">
        <w:rPr>
          <w:b/>
          <w:bCs/>
          <w:lang w:val="en-US"/>
        </w:rPr>
        <w:t>confidentialité</w:t>
      </w:r>
      <w:proofErr w:type="spellEnd"/>
    </w:p>
    <w:p w14:paraId="5E03CD61" w14:textId="77777777" w:rsidR="004F39A3" w:rsidRPr="004F39A3" w:rsidRDefault="004F39A3" w:rsidP="00ED24B6">
      <w:pPr>
        <w:numPr>
          <w:ilvl w:val="0"/>
          <w:numId w:val="12"/>
        </w:numPr>
        <w:tabs>
          <w:tab w:val="left" w:pos="840"/>
        </w:tabs>
        <w:spacing w:after="120" w:line="240" w:lineRule="auto"/>
      </w:pPr>
      <w:r w:rsidRPr="004F39A3">
        <w:t>Garantir la confidentialité, le consentement éclairé et le principe de ne pas nuire.</w:t>
      </w:r>
    </w:p>
    <w:p w14:paraId="52EADBDA" w14:textId="77777777" w:rsidR="004F39A3" w:rsidRPr="004F39A3" w:rsidRDefault="004F39A3" w:rsidP="00ED24B6">
      <w:pPr>
        <w:numPr>
          <w:ilvl w:val="0"/>
          <w:numId w:val="12"/>
        </w:numPr>
        <w:tabs>
          <w:tab w:val="left" w:pos="840"/>
        </w:tabs>
        <w:spacing w:after="120" w:line="240" w:lineRule="auto"/>
      </w:pPr>
      <w:r w:rsidRPr="004F39A3">
        <w:t>Prise en compte de la stigmatisation sociale liée aux personnes de retour et de la discrimination possible en respectant la protection des données</w:t>
      </w:r>
    </w:p>
    <w:p w14:paraId="44D1B528" w14:textId="77777777" w:rsidR="00BF7995" w:rsidRPr="004F39A3" w:rsidRDefault="00BF7995" w:rsidP="00E91DE7">
      <w:pPr>
        <w:tabs>
          <w:tab w:val="left" w:pos="840"/>
        </w:tabs>
        <w:spacing w:after="120" w:line="240" w:lineRule="auto"/>
      </w:pPr>
    </w:p>
    <w:p w14:paraId="69BE796C" w14:textId="77777777" w:rsidR="00BF7995" w:rsidRPr="00D00051" w:rsidRDefault="00BF7995" w:rsidP="00BF7995">
      <w:pPr>
        <w:tabs>
          <w:tab w:val="left" w:pos="840"/>
        </w:tabs>
        <w:spacing w:after="120" w:line="240" w:lineRule="auto"/>
        <w:rPr>
          <w:rFonts w:eastAsia="Arial" w:cstheme="minorHAnsi"/>
        </w:rPr>
      </w:pPr>
      <w:r>
        <w:t>7</w:t>
      </w:r>
      <w:r>
        <w:tab/>
      </w:r>
      <w:r>
        <w:rPr>
          <w:b/>
          <w:i/>
        </w:rPr>
        <w:t>Budget indicatif</w:t>
      </w:r>
    </w:p>
    <w:p w14:paraId="4B45063D" w14:textId="77777777" w:rsidR="00BF7995" w:rsidRPr="000B2FB3" w:rsidRDefault="00BF7995" w:rsidP="00BF7995">
      <w:pPr>
        <w:tabs>
          <w:tab w:val="left" w:pos="810"/>
        </w:tabs>
        <w:spacing w:after="120" w:line="240" w:lineRule="auto"/>
        <w:rPr>
          <w:rFonts w:eastAsia="Arial" w:cstheme="minorHAnsi"/>
          <w:i/>
          <w:iCs/>
          <w:color w:val="4F81BD" w:themeColor="accent1"/>
          <w:position w:val="-1"/>
        </w:rPr>
      </w:pPr>
      <w:r>
        <w:rPr>
          <w:i/>
          <w:color w:val="4F81BD" w:themeColor="accent1"/>
        </w:rPr>
        <w:tab/>
        <w:t xml:space="preserve">(Optionnel) </w:t>
      </w:r>
    </w:p>
    <w:p w14:paraId="1FBD2F6B" w14:textId="77777777" w:rsidR="00B856E3" w:rsidRDefault="00B856E3" w:rsidP="0091364B">
      <w:pPr>
        <w:tabs>
          <w:tab w:val="left" w:pos="840"/>
        </w:tabs>
        <w:spacing w:after="120" w:line="240" w:lineRule="auto"/>
        <w:rPr>
          <w:rFonts w:eastAsia="Arial" w:cstheme="minorHAnsi"/>
          <w:sz w:val="20"/>
          <w:szCs w:val="20"/>
        </w:rPr>
      </w:pPr>
    </w:p>
    <w:p w14:paraId="1A92B861" w14:textId="77777777" w:rsidR="00180F2B" w:rsidRPr="00D00051" w:rsidRDefault="00180F2B" w:rsidP="00180F2B">
      <w:pPr>
        <w:tabs>
          <w:tab w:val="left" w:pos="840"/>
        </w:tabs>
        <w:spacing w:after="120" w:line="240" w:lineRule="auto"/>
        <w:rPr>
          <w:rFonts w:eastAsia="Arial" w:cstheme="minorHAnsi"/>
          <w:b/>
          <w:bCs/>
          <w:i/>
        </w:rPr>
      </w:pPr>
      <w:r>
        <w:t>8</w:t>
      </w:r>
      <w:r>
        <w:tab/>
      </w:r>
      <w:r>
        <w:rPr>
          <w:b/>
          <w:i/>
        </w:rPr>
        <w:t>Autres informations</w:t>
      </w:r>
    </w:p>
    <w:p w14:paraId="09B82A86" w14:textId="77777777" w:rsidR="00180F2B" w:rsidRDefault="00180F2B" w:rsidP="00180F2B">
      <w:pPr>
        <w:tabs>
          <w:tab w:val="left" w:pos="1560"/>
        </w:tabs>
        <w:spacing w:after="120" w:line="240" w:lineRule="auto"/>
        <w:rPr>
          <w:i/>
          <w:color w:val="4F81BD" w:themeColor="accent1"/>
        </w:rPr>
      </w:pPr>
      <w:r>
        <w:rPr>
          <w:i/>
          <w:color w:val="4F81BD" w:themeColor="accent1"/>
        </w:rPr>
        <w:t xml:space="preserve">                 (Ajouter les informations pertinentes, le cas échéant)</w:t>
      </w:r>
    </w:p>
    <w:p w14:paraId="63CB972E" w14:textId="77777777" w:rsidR="00B856E3" w:rsidRPr="00675063" w:rsidRDefault="00B856E3" w:rsidP="0091364B">
      <w:pPr>
        <w:tabs>
          <w:tab w:val="left" w:pos="840"/>
        </w:tabs>
        <w:spacing w:after="120" w:line="240" w:lineRule="auto"/>
        <w:rPr>
          <w:rFonts w:eastAsia="Arial" w:cstheme="minorHAnsi"/>
          <w:sz w:val="20"/>
          <w:szCs w:val="20"/>
        </w:rPr>
      </w:pPr>
    </w:p>
    <w:p w14:paraId="230C4D35" w14:textId="7048BFDC" w:rsidR="0024366C" w:rsidRPr="00B50929" w:rsidRDefault="00C529A8" w:rsidP="0091364B">
      <w:pPr>
        <w:tabs>
          <w:tab w:val="left" w:pos="840"/>
        </w:tabs>
        <w:spacing w:after="120" w:line="240" w:lineRule="auto"/>
        <w:rPr>
          <w:rFonts w:eastAsia="Arial" w:cstheme="minorHAnsi"/>
        </w:rPr>
      </w:pPr>
      <w:r>
        <w:t>9</w:t>
      </w:r>
      <w:r>
        <w:tab/>
      </w:r>
      <w:r>
        <w:rPr>
          <w:b/>
          <w:i/>
        </w:rPr>
        <w:t xml:space="preserve">Critères de sélection </w:t>
      </w:r>
    </w:p>
    <w:p w14:paraId="29FAA17A" w14:textId="77777777" w:rsidR="0024366C" w:rsidRPr="00675063" w:rsidRDefault="0024366C" w:rsidP="0091364B">
      <w:pPr>
        <w:spacing w:after="120" w:line="240" w:lineRule="auto"/>
        <w:rPr>
          <w:rFonts w:cstheme="minorHAnsi"/>
          <w:sz w:val="3"/>
          <w:szCs w:val="3"/>
        </w:rPr>
      </w:pPr>
    </w:p>
    <w:tbl>
      <w:tblPr>
        <w:tblW w:w="10793" w:type="dxa"/>
        <w:tblInd w:w="-3" w:type="dxa"/>
        <w:tblLayout w:type="fixed"/>
        <w:tblCellMar>
          <w:left w:w="0" w:type="dxa"/>
          <w:right w:w="0" w:type="dxa"/>
        </w:tblCellMar>
        <w:tblLook w:val="01E0" w:firstRow="1" w:lastRow="1" w:firstColumn="1" w:lastColumn="1" w:noHBand="0" w:noVBand="0"/>
      </w:tblPr>
      <w:tblGrid>
        <w:gridCol w:w="2268"/>
        <w:gridCol w:w="7292"/>
        <w:gridCol w:w="1233"/>
      </w:tblGrid>
      <w:tr w:rsidR="0024366C" w:rsidRPr="00D51E75" w14:paraId="23AF61D1" w14:textId="77777777" w:rsidTr="00B83FB5">
        <w:trPr>
          <w:trHeight w:hRule="exact" w:val="354"/>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0F119A24" w14:textId="3055E622" w:rsidR="0024366C" w:rsidRPr="00D51E75" w:rsidRDefault="00B563CF" w:rsidP="0091364B">
            <w:pPr>
              <w:spacing w:after="120" w:line="240" w:lineRule="auto"/>
              <w:rPr>
                <w:rFonts w:eastAsia="Arial" w:cstheme="minorHAnsi"/>
                <w:b/>
                <w:bCs/>
              </w:rPr>
            </w:pPr>
            <w:r>
              <w:rPr>
                <w:b/>
                <w:color w:val="FFFFFF"/>
              </w:rPr>
              <w:t>Libellé</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153223C" w14:textId="77777777" w:rsidR="0024366C" w:rsidRPr="00D51E75" w:rsidRDefault="00C529A8" w:rsidP="0091364B">
            <w:pPr>
              <w:spacing w:after="120" w:line="240" w:lineRule="auto"/>
              <w:rPr>
                <w:rFonts w:eastAsia="Arial" w:cstheme="minorHAnsi"/>
                <w:b/>
                <w:bCs/>
              </w:rPr>
            </w:pPr>
            <w:r>
              <w:rPr>
                <w:b/>
                <w:color w:val="FFFFFF"/>
              </w:rPr>
              <w:t>Description</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D551264" w14:textId="77777777" w:rsidR="0024366C" w:rsidRPr="00D51E75" w:rsidRDefault="00C529A8" w:rsidP="0091364B">
            <w:pPr>
              <w:spacing w:after="120" w:line="240" w:lineRule="auto"/>
              <w:rPr>
                <w:rFonts w:eastAsia="Arial" w:cstheme="minorHAnsi"/>
                <w:b/>
                <w:bCs/>
              </w:rPr>
            </w:pPr>
            <w:r>
              <w:rPr>
                <w:b/>
                <w:color w:val="FFFFFF"/>
              </w:rPr>
              <w:t>Pondération</w:t>
            </w:r>
          </w:p>
        </w:tc>
      </w:tr>
      <w:tr w:rsidR="00780E9E" w:rsidRPr="00675063" w14:paraId="451568AD" w14:textId="77777777" w:rsidTr="00B83FB5">
        <w:trPr>
          <w:trHeight w:hRule="exact" w:val="690"/>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486073" w14:textId="77777777" w:rsidR="00780E9E" w:rsidRPr="00631C80" w:rsidRDefault="00780E9E" w:rsidP="00546B83">
            <w:pPr>
              <w:spacing w:before="10" w:after="0" w:line="100" w:lineRule="exact"/>
              <w:rPr>
                <w:rFonts w:eastAsia="Arial"/>
                <w:sz w:val="20"/>
                <w:szCs w:val="20"/>
              </w:rPr>
            </w:pPr>
          </w:p>
          <w:p w14:paraId="25DC23E0" w14:textId="0972E2CA" w:rsidR="00780E9E" w:rsidRPr="00631C80" w:rsidRDefault="00B83FB5" w:rsidP="00546B83">
            <w:pPr>
              <w:spacing w:after="120" w:line="240" w:lineRule="auto"/>
              <w:rPr>
                <w:rFonts w:eastAsia="Arial"/>
                <w:sz w:val="20"/>
                <w:szCs w:val="20"/>
              </w:rPr>
            </w:pPr>
            <w:r w:rsidRPr="00B83FB5">
              <w:rPr>
                <w:rFonts w:eastAsia="Arial"/>
                <w:sz w:val="20"/>
                <w:szCs w:val="20"/>
              </w:rPr>
              <w:t>Clarté des activités et des résultats escomptés</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7D57F4" w14:textId="5DEBB459" w:rsidR="00780E9E" w:rsidRPr="00546B83" w:rsidRDefault="00B83FB5" w:rsidP="00546B83">
            <w:pPr>
              <w:spacing w:after="120" w:line="240" w:lineRule="auto"/>
              <w:rPr>
                <w:rFonts w:eastAsia="Arial"/>
                <w:sz w:val="20"/>
                <w:szCs w:val="20"/>
              </w:rPr>
            </w:pPr>
            <w:r w:rsidRPr="00546B83">
              <w:rPr>
                <w:rFonts w:eastAsia="Arial"/>
                <w:sz w:val="20"/>
                <w:szCs w:val="20"/>
              </w:rPr>
              <w:t>Indication de la manière dont les activités proposées montrent que le partenaire a compris les prestations à fournir, le calendrier établi et le budget alloué</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73A5CD" w14:textId="77777777" w:rsidR="008F4D79" w:rsidRDefault="008F4D79" w:rsidP="007B0A41">
            <w:pPr>
              <w:jc w:val="center"/>
              <w:rPr>
                <w:rFonts w:ascii="Calibri" w:hAnsi="Calibri" w:cs="Calibri"/>
                <w:color w:val="000000"/>
              </w:rPr>
            </w:pPr>
            <w:r>
              <w:rPr>
                <w:rFonts w:ascii="Calibri" w:hAnsi="Calibri" w:cs="Calibri"/>
                <w:color w:val="000000"/>
              </w:rPr>
              <w:t>25</w:t>
            </w:r>
          </w:p>
          <w:p w14:paraId="21BCE4DC" w14:textId="7E8919D1" w:rsidR="00780E9E" w:rsidRDefault="00780E9E" w:rsidP="007B0A41">
            <w:pPr>
              <w:spacing w:after="120" w:line="240" w:lineRule="auto"/>
              <w:jc w:val="center"/>
              <w:rPr>
                <w:rFonts w:eastAsia="Arial" w:cstheme="minorHAnsi"/>
                <w:sz w:val="20"/>
                <w:szCs w:val="20"/>
              </w:rPr>
            </w:pPr>
          </w:p>
          <w:p w14:paraId="00F6662F" w14:textId="77777777" w:rsidR="00631C80" w:rsidRDefault="00631C80" w:rsidP="007B0A41">
            <w:pPr>
              <w:spacing w:after="120" w:line="240" w:lineRule="auto"/>
              <w:jc w:val="center"/>
              <w:rPr>
                <w:rFonts w:eastAsia="Arial" w:cstheme="minorHAnsi"/>
                <w:sz w:val="20"/>
                <w:szCs w:val="20"/>
              </w:rPr>
            </w:pPr>
          </w:p>
          <w:p w14:paraId="214C512B" w14:textId="77777777" w:rsidR="00631C80" w:rsidRDefault="00631C80" w:rsidP="007B0A41">
            <w:pPr>
              <w:spacing w:after="120" w:line="240" w:lineRule="auto"/>
              <w:jc w:val="center"/>
              <w:rPr>
                <w:rFonts w:eastAsia="Arial" w:cstheme="minorHAnsi"/>
                <w:sz w:val="20"/>
                <w:szCs w:val="20"/>
              </w:rPr>
            </w:pPr>
          </w:p>
          <w:p w14:paraId="389298C5" w14:textId="77777777" w:rsidR="00631C80" w:rsidRDefault="00631C80" w:rsidP="007B0A41">
            <w:pPr>
              <w:spacing w:after="120" w:line="240" w:lineRule="auto"/>
              <w:jc w:val="center"/>
              <w:rPr>
                <w:rFonts w:eastAsia="Arial" w:cstheme="minorHAnsi"/>
                <w:sz w:val="20"/>
                <w:szCs w:val="20"/>
              </w:rPr>
            </w:pPr>
          </w:p>
          <w:p w14:paraId="50BFB46B" w14:textId="77777777" w:rsidR="00631C80" w:rsidRDefault="00631C80" w:rsidP="007B0A41">
            <w:pPr>
              <w:spacing w:after="120" w:line="240" w:lineRule="auto"/>
              <w:jc w:val="center"/>
              <w:rPr>
                <w:rFonts w:eastAsia="Arial" w:cstheme="minorHAnsi"/>
                <w:sz w:val="20"/>
                <w:szCs w:val="20"/>
              </w:rPr>
            </w:pPr>
          </w:p>
          <w:p w14:paraId="7BD6608A" w14:textId="77777777" w:rsidR="00631C80" w:rsidRDefault="00631C80" w:rsidP="007B0A41">
            <w:pPr>
              <w:spacing w:after="120" w:line="240" w:lineRule="auto"/>
              <w:jc w:val="center"/>
              <w:rPr>
                <w:rFonts w:eastAsia="Arial" w:cstheme="minorHAnsi"/>
                <w:sz w:val="20"/>
                <w:szCs w:val="20"/>
              </w:rPr>
            </w:pPr>
          </w:p>
          <w:p w14:paraId="16A607A1" w14:textId="77777777" w:rsidR="00631C80" w:rsidRDefault="00631C80" w:rsidP="007B0A41">
            <w:pPr>
              <w:spacing w:after="120" w:line="240" w:lineRule="auto"/>
              <w:jc w:val="center"/>
              <w:rPr>
                <w:rFonts w:eastAsia="Arial" w:cstheme="minorHAnsi"/>
                <w:sz w:val="20"/>
                <w:szCs w:val="20"/>
              </w:rPr>
            </w:pPr>
          </w:p>
          <w:p w14:paraId="0F18CA4B" w14:textId="6A429048" w:rsidR="00631C80" w:rsidRPr="00631C80" w:rsidRDefault="00631C80" w:rsidP="007B0A41">
            <w:pPr>
              <w:spacing w:after="120" w:line="240" w:lineRule="auto"/>
              <w:jc w:val="center"/>
              <w:rPr>
                <w:rFonts w:eastAsia="Arial" w:cstheme="minorHAnsi"/>
                <w:sz w:val="20"/>
                <w:szCs w:val="20"/>
              </w:rPr>
            </w:pPr>
          </w:p>
        </w:tc>
      </w:tr>
      <w:tr w:rsidR="002E1838" w:rsidRPr="00675063" w14:paraId="07CE4E57" w14:textId="77777777" w:rsidTr="00763FD7">
        <w:trPr>
          <w:trHeight w:hRule="exact" w:val="856"/>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906DA9" w14:textId="77777777" w:rsidR="002E1838" w:rsidRDefault="002E1838" w:rsidP="00546B83">
            <w:pPr>
              <w:spacing w:after="0" w:line="100" w:lineRule="exact"/>
              <w:rPr>
                <w:rFonts w:eastAsia="Arial"/>
                <w:sz w:val="20"/>
                <w:szCs w:val="20"/>
              </w:rPr>
            </w:pPr>
          </w:p>
          <w:p w14:paraId="6DEF291F" w14:textId="77777777" w:rsidR="002E1838" w:rsidRDefault="002E1838" w:rsidP="00546B83">
            <w:pPr>
              <w:spacing w:after="0" w:line="100" w:lineRule="exact"/>
              <w:rPr>
                <w:rFonts w:eastAsia="Arial"/>
                <w:sz w:val="20"/>
                <w:szCs w:val="20"/>
              </w:rPr>
            </w:pPr>
          </w:p>
          <w:p w14:paraId="33DEB1AB" w14:textId="60C61B6E" w:rsidR="002E1838" w:rsidRPr="00631C80" w:rsidRDefault="008F4D79" w:rsidP="00546B83">
            <w:pPr>
              <w:spacing w:after="0" w:line="240" w:lineRule="auto"/>
              <w:rPr>
                <w:rFonts w:eastAsia="Arial"/>
                <w:sz w:val="20"/>
                <w:szCs w:val="20"/>
              </w:rPr>
            </w:pPr>
            <w:r w:rsidRPr="008F4D79">
              <w:rPr>
                <w:rFonts w:eastAsia="Arial"/>
                <w:sz w:val="20"/>
                <w:szCs w:val="20"/>
              </w:rPr>
              <w:t>Contribution de ressources</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C4CD43" w14:textId="77777777" w:rsidR="00546B83" w:rsidRDefault="00546B83" w:rsidP="00546B83">
            <w:pPr>
              <w:spacing w:after="120" w:line="240" w:lineRule="auto"/>
              <w:rPr>
                <w:rFonts w:eastAsia="Arial"/>
                <w:sz w:val="20"/>
                <w:szCs w:val="20"/>
              </w:rPr>
            </w:pPr>
          </w:p>
          <w:p w14:paraId="5F38EE67" w14:textId="2F3BD771" w:rsidR="002E1838" w:rsidRPr="00546B83" w:rsidRDefault="008F4D79" w:rsidP="00546B83">
            <w:pPr>
              <w:spacing w:after="120" w:line="240" w:lineRule="auto"/>
              <w:rPr>
                <w:rFonts w:eastAsia="Arial"/>
                <w:sz w:val="20"/>
                <w:szCs w:val="20"/>
              </w:rPr>
            </w:pPr>
            <w:r w:rsidRPr="00546B83">
              <w:rPr>
                <w:rFonts w:eastAsia="Arial"/>
                <w:sz w:val="20"/>
                <w:szCs w:val="20"/>
              </w:rPr>
              <w:t>Contribution de ressources du partenaire à l’appui de la mise en œuvre du programme</w:t>
            </w:r>
          </w:p>
          <w:p w14:paraId="0152A9F8" w14:textId="77777777" w:rsidR="002E1838" w:rsidRPr="00B83FB5" w:rsidRDefault="002E1838" w:rsidP="00546B83">
            <w:pPr>
              <w:pStyle w:val="Paragraphedeliste"/>
              <w:spacing w:after="120" w:line="240" w:lineRule="auto"/>
              <w:ind w:left="354"/>
              <w:rPr>
                <w:rFonts w:eastAsia="Arial"/>
                <w:sz w:val="20"/>
                <w:szCs w:val="20"/>
              </w:rPr>
            </w:pP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FDC6F6" w14:textId="77777777" w:rsidR="008F4D79" w:rsidRDefault="008F4D79" w:rsidP="007B0A41">
            <w:pPr>
              <w:spacing w:after="120" w:line="240" w:lineRule="auto"/>
              <w:jc w:val="center"/>
              <w:rPr>
                <w:rFonts w:eastAsia="Arial" w:cstheme="minorHAnsi"/>
                <w:sz w:val="20"/>
                <w:szCs w:val="20"/>
              </w:rPr>
            </w:pPr>
          </w:p>
          <w:p w14:paraId="5B4F2F16" w14:textId="2A3366DC" w:rsidR="002E1838" w:rsidRDefault="008F4D79" w:rsidP="007B0A41">
            <w:pPr>
              <w:spacing w:after="120" w:line="240" w:lineRule="auto"/>
              <w:jc w:val="center"/>
              <w:rPr>
                <w:rFonts w:eastAsia="Arial" w:cstheme="minorHAnsi"/>
                <w:sz w:val="20"/>
                <w:szCs w:val="20"/>
              </w:rPr>
            </w:pPr>
            <w:r w:rsidRPr="008F4D79">
              <w:rPr>
                <w:rFonts w:eastAsia="Arial" w:cstheme="minorHAnsi"/>
                <w:sz w:val="20"/>
                <w:szCs w:val="20"/>
              </w:rPr>
              <w:t>10</w:t>
            </w:r>
          </w:p>
        </w:tc>
      </w:tr>
      <w:tr w:rsidR="002E1838" w:rsidRPr="00675063" w14:paraId="5EDE4671" w14:textId="77777777" w:rsidTr="00B83FB5">
        <w:trPr>
          <w:trHeight w:hRule="exact" w:val="690"/>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9BC984" w14:textId="6E9EE507" w:rsidR="002E1838" w:rsidRPr="00631C80" w:rsidRDefault="00EA4EBA" w:rsidP="00546B83">
            <w:pPr>
              <w:spacing w:after="0" w:line="360" w:lineRule="auto"/>
              <w:rPr>
                <w:rFonts w:eastAsia="Arial"/>
                <w:sz w:val="20"/>
                <w:szCs w:val="20"/>
              </w:rPr>
            </w:pPr>
            <w:r w:rsidRPr="00EA4EBA">
              <w:rPr>
                <w:rFonts w:eastAsia="Arial"/>
                <w:sz w:val="20"/>
                <w:szCs w:val="20"/>
              </w:rPr>
              <w:t>Rapport coût-efficacité</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8EB7CD" w14:textId="20D0FA5E" w:rsidR="002E1838" w:rsidRPr="00546B83" w:rsidRDefault="00EA4EBA" w:rsidP="00546B83">
            <w:pPr>
              <w:spacing w:after="120" w:line="360" w:lineRule="auto"/>
              <w:rPr>
                <w:rFonts w:eastAsia="Arial"/>
                <w:sz w:val="20"/>
                <w:szCs w:val="20"/>
              </w:rPr>
            </w:pPr>
            <w:r w:rsidRPr="00546B83">
              <w:rPr>
                <w:rFonts w:eastAsia="Arial"/>
                <w:sz w:val="20"/>
                <w:szCs w:val="20"/>
              </w:rPr>
              <w:t>Répartition des coûts à l’appui de la mise en œuvre et de la gestion du programme</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2E0E11" w14:textId="6DF34F79" w:rsidR="002E1838" w:rsidRDefault="00EA4EBA" w:rsidP="007B0A41">
            <w:pPr>
              <w:spacing w:after="120" w:line="240" w:lineRule="auto"/>
              <w:jc w:val="center"/>
              <w:rPr>
                <w:rFonts w:eastAsia="Arial" w:cstheme="minorHAnsi"/>
                <w:sz w:val="20"/>
                <w:szCs w:val="20"/>
              </w:rPr>
            </w:pPr>
            <w:r w:rsidRPr="00EA4EBA">
              <w:rPr>
                <w:rFonts w:eastAsia="Arial" w:cstheme="minorHAnsi"/>
                <w:sz w:val="20"/>
                <w:szCs w:val="20"/>
              </w:rPr>
              <w:t>10</w:t>
            </w:r>
          </w:p>
        </w:tc>
      </w:tr>
      <w:tr w:rsidR="00921357" w:rsidRPr="00675063" w14:paraId="40C6A9E4" w14:textId="77777777" w:rsidTr="00B83FB5">
        <w:trPr>
          <w:trHeight w:hRule="exact" w:val="690"/>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C4E409" w14:textId="476DC51B" w:rsidR="00921357" w:rsidRPr="00EA4EBA" w:rsidRDefault="00704377" w:rsidP="00546B83">
            <w:pPr>
              <w:spacing w:after="0" w:line="240" w:lineRule="auto"/>
              <w:rPr>
                <w:rFonts w:eastAsia="Arial"/>
                <w:sz w:val="20"/>
                <w:szCs w:val="20"/>
              </w:rPr>
            </w:pPr>
            <w:r w:rsidRPr="00704377">
              <w:rPr>
                <w:rFonts w:eastAsia="Arial"/>
                <w:sz w:val="20"/>
                <w:szCs w:val="20"/>
              </w:rPr>
              <w:t>Expérience locale et présence sur place</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6CE790" w14:textId="17DE370A" w:rsidR="00921357" w:rsidRPr="00546B83" w:rsidRDefault="007B0A41" w:rsidP="00546B83">
            <w:pPr>
              <w:spacing w:after="120" w:line="240" w:lineRule="auto"/>
              <w:rPr>
                <w:rFonts w:eastAsia="Arial"/>
                <w:sz w:val="20"/>
                <w:szCs w:val="20"/>
              </w:rPr>
            </w:pPr>
            <w:r w:rsidRPr="00546B83">
              <w:rPr>
                <w:rFonts w:eastAsia="Arial"/>
                <w:sz w:val="20"/>
                <w:szCs w:val="20"/>
              </w:rPr>
              <w:t>Le partenaire doit déjà être présent dans un lieu donné et avoir une expertise dans le domaine</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FC654A" w14:textId="3A70CB19" w:rsidR="00921357" w:rsidRPr="00EA4EBA" w:rsidRDefault="007B0A41" w:rsidP="007B0A41">
            <w:pPr>
              <w:spacing w:after="120" w:line="240" w:lineRule="auto"/>
              <w:jc w:val="center"/>
              <w:rPr>
                <w:rFonts w:eastAsia="Arial" w:cstheme="minorHAnsi"/>
                <w:sz w:val="20"/>
                <w:szCs w:val="20"/>
              </w:rPr>
            </w:pPr>
            <w:r w:rsidRPr="007B0A41">
              <w:rPr>
                <w:rFonts w:eastAsia="Arial" w:cstheme="minorHAnsi"/>
                <w:sz w:val="20"/>
                <w:szCs w:val="20"/>
              </w:rPr>
              <w:t>10</w:t>
            </w:r>
          </w:p>
        </w:tc>
      </w:tr>
      <w:tr w:rsidR="00921357" w:rsidRPr="00675063" w14:paraId="69502959" w14:textId="77777777" w:rsidTr="00B83FB5">
        <w:trPr>
          <w:trHeight w:hRule="exact" w:val="690"/>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AB78F4" w14:textId="4233D04A" w:rsidR="00921357" w:rsidRPr="00EA4EBA" w:rsidRDefault="00493C0D" w:rsidP="00546B83">
            <w:pPr>
              <w:spacing w:after="0" w:line="240" w:lineRule="auto"/>
              <w:rPr>
                <w:rFonts w:eastAsia="Arial"/>
                <w:sz w:val="20"/>
                <w:szCs w:val="20"/>
              </w:rPr>
            </w:pPr>
            <w:r w:rsidRPr="00493C0D">
              <w:rPr>
                <w:rFonts w:eastAsia="Arial"/>
                <w:sz w:val="20"/>
                <w:szCs w:val="20"/>
              </w:rPr>
              <w:t>Gestion de projet</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4C0613" w14:textId="7247173E" w:rsidR="00921357" w:rsidRPr="00546B83" w:rsidRDefault="00493C0D" w:rsidP="00546B83">
            <w:pPr>
              <w:spacing w:after="120" w:line="240" w:lineRule="auto"/>
              <w:rPr>
                <w:rFonts w:eastAsia="Arial"/>
                <w:sz w:val="20"/>
                <w:szCs w:val="20"/>
              </w:rPr>
            </w:pPr>
            <w:r w:rsidRPr="00546B83">
              <w:rPr>
                <w:rFonts w:eastAsia="Arial"/>
                <w:sz w:val="20"/>
                <w:szCs w:val="20"/>
              </w:rPr>
              <w:t>Répartition entre le personnel technique et le personnel chargé de la gestion de projet</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91F426" w14:textId="1F7708D7" w:rsidR="00921357" w:rsidRPr="00EA4EBA" w:rsidRDefault="00493C0D" w:rsidP="007B0A41">
            <w:pPr>
              <w:spacing w:after="120" w:line="240" w:lineRule="auto"/>
              <w:jc w:val="center"/>
              <w:rPr>
                <w:rFonts w:eastAsia="Arial" w:cstheme="minorHAnsi"/>
                <w:sz w:val="20"/>
                <w:szCs w:val="20"/>
              </w:rPr>
            </w:pPr>
            <w:r>
              <w:rPr>
                <w:rFonts w:eastAsia="Arial" w:cstheme="minorHAnsi"/>
                <w:sz w:val="20"/>
                <w:szCs w:val="20"/>
              </w:rPr>
              <w:t>10</w:t>
            </w:r>
          </w:p>
        </w:tc>
      </w:tr>
      <w:tr w:rsidR="00921357" w:rsidRPr="00675063" w14:paraId="48DC8D29" w14:textId="77777777" w:rsidTr="00D241F2">
        <w:trPr>
          <w:trHeight w:hRule="exact" w:val="756"/>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4FEC68" w14:textId="4BBA6A54" w:rsidR="00921357" w:rsidRPr="00EA4EBA" w:rsidRDefault="00D241F2" w:rsidP="00546B83">
            <w:pPr>
              <w:spacing w:after="0" w:line="240" w:lineRule="auto"/>
              <w:rPr>
                <w:rFonts w:eastAsia="Arial"/>
                <w:sz w:val="20"/>
                <w:szCs w:val="20"/>
              </w:rPr>
            </w:pPr>
            <w:r w:rsidRPr="00D241F2">
              <w:rPr>
                <w:rFonts w:eastAsia="Arial"/>
                <w:sz w:val="20"/>
                <w:szCs w:val="20"/>
              </w:rPr>
              <w:t>Importance de la proposition en vue de l'obtention des résultats escomptés</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2D48B1" w14:textId="459D9E81" w:rsidR="00921357" w:rsidRPr="00546B83" w:rsidRDefault="00D241F2" w:rsidP="00546B83">
            <w:pPr>
              <w:spacing w:after="120" w:line="240" w:lineRule="auto"/>
              <w:rPr>
                <w:rFonts w:eastAsia="Arial"/>
                <w:sz w:val="20"/>
                <w:szCs w:val="20"/>
              </w:rPr>
            </w:pPr>
            <w:r w:rsidRPr="00546B83">
              <w:rPr>
                <w:rFonts w:eastAsia="Arial"/>
                <w:sz w:val="20"/>
                <w:szCs w:val="20"/>
              </w:rPr>
              <w:t>Indication de la manière dont le programme sera exécuté, y compris les risques ou complications potentiels, et de la manière dont le partenaire surmonterait ces difficultés</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4A9254" w14:textId="3EE73226" w:rsidR="00921357" w:rsidRPr="00EA4EBA" w:rsidRDefault="00D241F2" w:rsidP="007B0A41">
            <w:pPr>
              <w:spacing w:after="120" w:line="240" w:lineRule="auto"/>
              <w:jc w:val="center"/>
              <w:rPr>
                <w:rFonts w:eastAsia="Arial" w:cstheme="minorHAnsi"/>
                <w:sz w:val="20"/>
                <w:szCs w:val="20"/>
              </w:rPr>
            </w:pPr>
            <w:r w:rsidRPr="00D241F2">
              <w:rPr>
                <w:rFonts w:eastAsia="Arial" w:cstheme="minorHAnsi"/>
                <w:sz w:val="20"/>
                <w:szCs w:val="20"/>
              </w:rPr>
              <w:t>25</w:t>
            </w:r>
          </w:p>
        </w:tc>
      </w:tr>
      <w:tr w:rsidR="006F4B0D" w:rsidRPr="00675063" w14:paraId="10DC06F2" w14:textId="77777777" w:rsidTr="00B83FB5">
        <w:trPr>
          <w:trHeight w:hRule="exact" w:val="690"/>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4AF413" w14:textId="5433587B" w:rsidR="006F4B0D" w:rsidRPr="00EA4EBA" w:rsidRDefault="008443F5" w:rsidP="00546B83">
            <w:pPr>
              <w:spacing w:after="0" w:line="240" w:lineRule="auto"/>
              <w:rPr>
                <w:rFonts w:eastAsia="Arial"/>
                <w:sz w:val="20"/>
                <w:szCs w:val="20"/>
              </w:rPr>
            </w:pPr>
            <w:r w:rsidRPr="008443F5">
              <w:rPr>
                <w:rFonts w:eastAsia="Arial"/>
                <w:sz w:val="20"/>
                <w:szCs w:val="20"/>
              </w:rPr>
              <w:t>Expertise et expérience sectorielles</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825399" w14:textId="4177EC36" w:rsidR="006F4B0D" w:rsidRPr="00546B83" w:rsidRDefault="008443F5" w:rsidP="00546B83">
            <w:pPr>
              <w:spacing w:after="120" w:line="240" w:lineRule="auto"/>
              <w:rPr>
                <w:rFonts w:eastAsia="Arial"/>
                <w:sz w:val="20"/>
                <w:szCs w:val="20"/>
              </w:rPr>
            </w:pPr>
            <w:r w:rsidRPr="00546B83">
              <w:rPr>
                <w:rFonts w:eastAsia="Arial"/>
                <w:sz w:val="20"/>
                <w:szCs w:val="20"/>
              </w:rPr>
              <w:t>Le partenaire fait preuve d'une compréhension globale des questions liées à la nutrition maternelle, infantile et des adolescents</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CDE521" w14:textId="650C80B7" w:rsidR="006F4B0D" w:rsidRPr="00EA4EBA" w:rsidRDefault="00113E9A" w:rsidP="007B0A41">
            <w:pPr>
              <w:spacing w:after="120" w:line="240" w:lineRule="auto"/>
              <w:jc w:val="center"/>
              <w:rPr>
                <w:rFonts w:eastAsia="Arial" w:cstheme="minorHAnsi"/>
                <w:sz w:val="20"/>
                <w:szCs w:val="20"/>
              </w:rPr>
            </w:pPr>
            <w:r>
              <w:rPr>
                <w:rFonts w:eastAsia="Arial" w:cstheme="minorHAnsi"/>
                <w:sz w:val="20"/>
                <w:szCs w:val="20"/>
              </w:rPr>
              <w:t>5</w:t>
            </w:r>
          </w:p>
        </w:tc>
      </w:tr>
      <w:tr w:rsidR="00780E9E" w:rsidRPr="00675063" w14:paraId="2DFA0AAF" w14:textId="77777777" w:rsidTr="00B83FB5">
        <w:trPr>
          <w:trHeight w:hRule="exact" w:val="1220"/>
        </w:trPr>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BBC5D9" w14:textId="38D30B4D" w:rsidR="00780E9E" w:rsidRPr="00631C80" w:rsidRDefault="00780E9E" w:rsidP="00546B83">
            <w:pPr>
              <w:spacing w:after="120" w:line="240" w:lineRule="auto"/>
              <w:rPr>
                <w:rFonts w:eastAsia="Arial" w:cstheme="minorHAnsi"/>
                <w:sz w:val="20"/>
                <w:szCs w:val="20"/>
              </w:rPr>
            </w:pPr>
            <w:r>
              <w:rPr>
                <w:sz w:val="20"/>
              </w:rPr>
              <w:t>Viabilité de l</w:t>
            </w:r>
            <w:r w:rsidR="007D6B5E">
              <w:rPr>
                <w:sz w:val="20"/>
              </w:rPr>
              <w:t>’</w:t>
            </w:r>
            <w:r>
              <w:rPr>
                <w:sz w:val="20"/>
              </w:rPr>
              <w:t>intervention</w:t>
            </w:r>
          </w:p>
        </w:tc>
        <w:tc>
          <w:tcPr>
            <w:tcW w:w="72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C35C07" w14:textId="31A20237" w:rsidR="00AB4424" w:rsidRPr="00AB4424" w:rsidRDefault="00780E9E" w:rsidP="00ED24B6">
            <w:pPr>
              <w:pStyle w:val="Paragraphedeliste"/>
              <w:numPr>
                <w:ilvl w:val="0"/>
                <w:numId w:val="3"/>
              </w:numPr>
              <w:spacing w:after="120" w:line="240" w:lineRule="auto"/>
              <w:ind w:left="354" w:hanging="270"/>
              <w:rPr>
                <w:rFonts w:eastAsia="Arial" w:cstheme="minorHAnsi"/>
                <w:sz w:val="20"/>
                <w:szCs w:val="20"/>
              </w:rPr>
            </w:pPr>
            <w:r>
              <w:rPr>
                <w:sz w:val="20"/>
              </w:rPr>
              <w:t xml:space="preserve">Expérience en matière de partenariat avec des institutions clés œuvrant dans le domaine de la participation et </w:t>
            </w:r>
            <w:r w:rsidR="0093615E">
              <w:rPr>
                <w:sz w:val="20"/>
              </w:rPr>
              <w:t>de l’épanouissement</w:t>
            </w:r>
            <w:r>
              <w:rPr>
                <w:sz w:val="20"/>
              </w:rPr>
              <w:t xml:space="preserve"> des jeunes et des adolescents</w:t>
            </w:r>
            <w:r w:rsidR="00BA0143">
              <w:rPr>
                <w:sz w:val="20"/>
              </w:rPr>
              <w:t> </w:t>
            </w:r>
            <w:r w:rsidR="007B00C1">
              <w:rPr>
                <w:sz w:val="20"/>
              </w:rPr>
              <w:t>;</w:t>
            </w:r>
          </w:p>
          <w:p w14:paraId="0AA1F9DD" w14:textId="42CAA8DA" w:rsidR="00780E9E" w:rsidRPr="00AB4424" w:rsidRDefault="00780E9E" w:rsidP="00ED24B6">
            <w:pPr>
              <w:pStyle w:val="Paragraphedeliste"/>
              <w:numPr>
                <w:ilvl w:val="0"/>
                <w:numId w:val="3"/>
              </w:numPr>
              <w:spacing w:after="120" w:line="240" w:lineRule="auto"/>
              <w:ind w:left="354" w:hanging="270"/>
              <w:rPr>
                <w:rFonts w:eastAsia="Arial" w:cstheme="minorHAnsi"/>
                <w:sz w:val="20"/>
                <w:szCs w:val="20"/>
              </w:rPr>
            </w:pPr>
            <w:r>
              <w:rPr>
                <w:sz w:val="20"/>
              </w:rPr>
              <w:t xml:space="preserve">Expérience, présence et relations avec la </w:t>
            </w:r>
            <w:r w:rsidR="0093615E">
              <w:rPr>
                <w:sz w:val="20"/>
              </w:rPr>
              <w:t xml:space="preserve">communauté </w:t>
            </w:r>
            <w:r>
              <w:rPr>
                <w:sz w:val="20"/>
              </w:rPr>
              <w:t>aux niveaux national et local</w:t>
            </w:r>
            <w:r w:rsidR="00BA0143">
              <w:rPr>
                <w:sz w:val="20"/>
              </w:rPr>
              <w:t> </w:t>
            </w:r>
            <w:r>
              <w:rPr>
                <w:sz w:val="20"/>
              </w:rPr>
              <w:t xml:space="preserve">; </w:t>
            </w:r>
            <w:r w:rsidR="00023A28">
              <w:rPr>
                <w:sz w:val="20"/>
              </w:rPr>
              <w:t>c</w:t>
            </w:r>
            <w:r>
              <w:rPr>
                <w:sz w:val="20"/>
              </w:rPr>
              <w:t>apacités de gestion</w:t>
            </w:r>
            <w:r w:rsidR="00BA0143">
              <w:rPr>
                <w:sz w:val="20"/>
              </w:rPr>
              <w:t> </w:t>
            </w:r>
            <w:r>
              <w:rPr>
                <w:sz w:val="20"/>
              </w:rPr>
              <w:t>; viabilité de l’intervention</w:t>
            </w:r>
            <w:r w:rsidR="00023A28">
              <w:rPr>
                <w:sz w:val="20"/>
              </w:rPr>
              <w:t>.</w:t>
            </w:r>
          </w:p>
        </w:tc>
        <w:tc>
          <w:tcPr>
            <w:tcW w:w="123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E9AF61" w14:textId="0483288F" w:rsidR="00780E9E" w:rsidRPr="00631C80" w:rsidRDefault="00113E9A" w:rsidP="007B0A41">
            <w:pPr>
              <w:spacing w:after="120" w:line="240" w:lineRule="auto"/>
              <w:jc w:val="center"/>
              <w:rPr>
                <w:rFonts w:eastAsia="Arial" w:cstheme="minorHAnsi"/>
                <w:sz w:val="20"/>
                <w:szCs w:val="20"/>
              </w:rPr>
            </w:pPr>
            <w:r>
              <w:rPr>
                <w:sz w:val="20"/>
              </w:rPr>
              <w:t>5</w:t>
            </w:r>
          </w:p>
        </w:tc>
      </w:tr>
    </w:tbl>
    <w:p w14:paraId="6EA64615" w14:textId="77777777" w:rsidR="0024366C" w:rsidRDefault="0024366C" w:rsidP="0091364B">
      <w:pPr>
        <w:spacing w:after="120" w:line="240" w:lineRule="auto"/>
        <w:rPr>
          <w:rFonts w:cstheme="minorHAnsi"/>
          <w:sz w:val="20"/>
          <w:szCs w:val="20"/>
        </w:rPr>
      </w:pPr>
    </w:p>
    <w:p w14:paraId="709CA5CB" w14:textId="77777777" w:rsidR="00962E6F" w:rsidRDefault="00962E6F" w:rsidP="0091364B">
      <w:pPr>
        <w:spacing w:after="120" w:line="240" w:lineRule="auto"/>
        <w:rPr>
          <w:rFonts w:cstheme="minorHAnsi"/>
          <w:sz w:val="20"/>
          <w:szCs w:val="20"/>
        </w:rPr>
      </w:pPr>
    </w:p>
    <w:p w14:paraId="1887DDF0" w14:textId="77777777" w:rsidR="00962E6F" w:rsidRDefault="00962E6F" w:rsidP="0091364B">
      <w:pPr>
        <w:spacing w:after="120" w:line="240" w:lineRule="auto"/>
        <w:rPr>
          <w:rFonts w:cstheme="minorHAnsi"/>
          <w:sz w:val="20"/>
          <w:szCs w:val="20"/>
        </w:rPr>
      </w:pPr>
    </w:p>
    <w:p w14:paraId="2D71BE0E" w14:textId="77777777" w:rsidR="00962E6F" w:rsidRPr="00675063" w:rsidRDefault="00962E6F" w:rsidP="0091364B">
      <w:pPr>
        <w:spacing w:after="120" w:line="240" w:lineRule="auto"/>
        <w:rPr>
          <w:rFonts w:cstheme="minorHAnsi"/>
          <w:sz w:val="20"/>
          <w:szCs w:val="20"/>
        </w:rPr>
      </w:pPr>
    </w:p>
    <w:p w14:paraId="317E273B" w14:textId="1394A00B" w:rsidR="0024366C" w:rsidRPr="00B50929" w:rsidRDefault="00DA2A10" w:rsidP="00DA2A10">
      <w:pPr>
        <w:tabs>
          <w:tab w:val="left" w:pos="720"/>
        </w:tabs>
        <w:spacing w:after="120" w:line="240" w:lineRule="auto"/>
        <w:rPr>
          <w:rFonts w:eastAsia="Arial" w:cstheme="minorHAnsi"/>
        </w:rPr>
      </w:pPr>
      <w:r>
        <w:t xml:space="preserve">10.                   </w:t>
      </w:r>
      <w:r>
        <w:rPr>
          <w:b/>
          <w:i/>
        </w:rPr>
        <w:t>Pièces jointes</w:t>
      </w:r>
    </w:p>
    <w:p w14:paraId="4FB3D2AE" w14:textId="77777777" w:rsidR="0024366C" w:rsidRPr="00675063" w:rsidRDefault="0024366C" w:rsidP="0091364B">
      <w:pPr>
        <w:spacing w:after="120" w:line="240" w:lineRule="auto"/>
        <w:rPr>
          <w:rFonts w:cstheme="minorHAnsi"/>
          <w:sz w:val="3"/>
          <w:szCs w:val="3"/>
        </w:rPr>
      </w:pPr>
    </w:p>
    <w:tbl>
      <w:tblPr>
        <w:tblW w:w="0" w:type="auto"/>
        <w:tblInd w:w="267" w:type="dxa"/>
        <w:tblLayout w:type="fixed"/>
        <w:tblCellMar>
          <w:left w:w="0" w:type="dxa"/>
          <w:right w:w="0" w:type="dxa"/>
        </w:tblCellMar>
        <w:tblLook w:val="01E0" w:firstRow="1" w:lastRow="1" w:firstColumn="1" w:lastColumn="1" w:noHBand="0" w:noVBand="0"/>
      </w:tblPr>
      <w:tblGrid>
        <w:gridCol w:w="5117"/>
        <w:gridCol w:w="4873"/>
      </w:tblGrid>
      <w:tr w:rsidR="0024366C" w:rsidRPr="00F44FB0" w14:paraId="18511F04" w14:textId="77777777" w:rsidTr="004C7E6A">
        <w:trPr>
          <w:trHeight w:hRule="exact" w:val="354"/>
        </w:trPr>
        <w:tc>
          <w:tcPr>
            <w:tcW w:w="5117"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24366C" w:rsidRPr="00F44FB0" w:rsidRDefault="00C529A8" w:rsidP="0091364B">
            <w:pPr>
              <w:spacing w:after="120" w:line="240" w:lineRule="auto"/>
              <w:rPr>
                <w:rFonts w:eastAsia="Arial" w:cstheme="minorHAnsi"/>
                <w:b/>
                <w:bCs/>
                <w:sz w:val="20"/>
                <w:szCs w:val="20"/>
              </w:rPr>
            </w:pPr>
            <w:r>
              <w:rPr>
                <w:b/>
                <w:color w:val="FFFFFF"/>
                <w:sz w:val="20"/>
              </w:rPr>
              <w:t>Description</w:t>
            </w:r>
          </w:p>
        </w:tc>
        <w:tc>
          <w:tcPr>
            <w:tcW w:w="4873"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6B13BD4" w14:textId="4DD3BF3A" w:rsidR="0024366C" w:rsidRPr="00F44FB0" w:rsidRDefault="006246BE" w:rsidP="0091364B">
            <w:pPr>
              <w:spacing w:after="120" w:line="240" w:lineRule="auto"/>
              <w:rPr>
                <w:rFonts w:eastAsia="Arial" w:cstheme="minorHAnsi"/>
                <w:b/>
                <w:bCs/>
                <w:sz w:val="20"/>
                <w:szCs w:val="20"/>
              </w:rPr>
            </w:pPr>
            <w:r>
              <w:rPr>
                <w:b/>
                <w:color w:val="FFFFFF"/>
                <w:sz w:val="20"/>
              </w:rPr>
              <w:t>Lien hypertexte</w:t>
            </w:r>
          </w:p>
        </w:tc>
      </w:tr>
      <w:tr w:rsidR="00D00051" w:rsidRPr="00675063" w14:paraId="48B61447"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25292323" w14:textId="30998B78" w:rsidR="00D00051" w:rsidRPr="00DA2A10" w:rsidRDefault="00D00051" w:rsidP="0091364B">
            <w:pPr>
              <w:spacing w:after="120" w:line="240" w:lineRule="auto"/>
              <w:rPr>
                <w:rFonts w:eastAsia="Arial" w:cstheme="minorHAnsi"/>
                <w:color w:val="4F81BD" w:themeColor="accent1"/>
                <w:sz w:val="20"/>
                <w:szCs w:val="20"/>
              </w:rPr>
            </w:pPr>
            <w:r>
              <w:rPr>
                <w:color w:val="4F81BD" w:themeColor="accent1"/>
                <w:sz w:val="20"/>
              </w:rPr>
              <w:t xml:space="preserve">ANNEXE A </w:t>
            </w:r>
            <w:r w:rsidR="007D6B5E">
              <w:rPr>
                <w:color w:val="4F81BD" w:themeColor="accent1"/>
                <w:sz w:val="20"/>
              </w:rPr>
              <w:t>–</w:t>
            </w:r>
            <w:r>
              <w:rPr>
                <w:color w:val="4F81BD" w:themeColor="accent1"/>
                <w:sz w:val="20"/>
              </w:rPr>
              <w:t xml:space="preserve"> Mandat</w:t>
            </w:r>
          </w:p>
        </w:tc>
        <w:tc>
          <w:tcPr>
            <w:tcW w:w="4873" w:type="dxa"/>
            <w:tcBorders>
              <w:top w:val="single" w:sz="2" w:space="0" w:color="000000"/>
              <w:left w:val="single" w:sz="2" w:space="0" w:color="000000"/>
              <w:bottom w:val="single" w:sz="2" w:space="0" w:color="000000"/>
              <w:right w:val="single" w:sz="2" w:space="0" w:color="000000"/>
            </w:tcBorders>
          </w:tcPr>
          <w:p w14:paraId="3635CAE9" w14:textId="08FB9E89" w:rsidR="00D00051" w:rsidRPr="00D00051" w:rsidRDefault="00D00051" w:rsidP="0091364B">
            <w:pPr>
              <w:spacing w:after="120" w:line="240" w:lineRule="auto"/>
              <w:rPr>
                <w:rFonts w:cstheme="minorHAnsi"/>
                <w:color w:val="4F81BD" w:themeColor="accent1"/>
                <w:sz w:val="20"/>
                <w:szCs w:val="20"/>
              </w:rPr>
            </w:pPr>
            <w:r>
              <w:rPr>
                <w:color w:val="4F81BD" w:themeColor="accent1"/>
                <w:sz w:val="20"/>
              </w:rPr>
              <w:t>(Insérer lien)</w:t>
            </w:r>
          </w:p>
        </w:tc>
      </w:tr>
      <w:tr w:rsidR="00EC2967" w:rsidRPr="00675063" w14:paraId="3DEED669"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0714D5CA" w14:textId="2429BB01" w:rsidR="00EC2967" w:rsidRPr="00DA2A10" w:rsidRDefault="00675063" w:rsidP="0091364B">
            <w:pPr>
              <w:spacing w:after="120" w:line="240" w:lineRule="auto"/>
              <w:rPr>
                <w:rFonts w:eastAsia="Arial" w:cstheme="minorHAnsi"/>
                <w:sz w:val="20"/>
                <w:szCs w:val="20"/>
              </w:rPr>
            </w:pPr>
            <w:r>
              <w:rPr>
                <w:color w:val="4F81BD" w:themeColor="accent1"/>
                <w:sz w:val="20"/>
              </w:rPr>
              <w:t xml:space="preserve">ANNEXE B </w:t>
            </w:r>
            <w:r w:rsidR="007D6B5E">
              <w:rPr>
                <w:color w:val="4F81BD" w:themeColor="accent1"/>
                <w:sz w:val="20"/>
              </w:rPr>
              <w:t>–</w:t>
            </w:r>
            <w:r>
              <w:rPr>
                <w:color w:val="4F81BD" w:themeColor="accent1"/>
                <w:sz w:val="20"/>
              </w:rPr>
              <w:t xml:space="preserve"> Liste de vérification des références des partenaires d’exécution</w:t>
            </w:r>
          </w:p>
        </w:tc>
        <w:tc>
          <w:tcPr>
            <w:tcW w:w="4873" w:type="dxa"/>
            <w:tcBorders>
              <w:top w:val="single" w:sz="2" w:space="0" w:color="000000"/>
              <w:left w:val="single" w:sz="2" w:space="0" w:color="000000"/>
              <w:bottom w:val="single" w:sz="2" w:space="0" w:color="000000"/>
              <w:right w:val="single" w:sz="2" w:space="0" w:color="000000"/>
            </w:tcBorders>
          </w:tcPr>
          <w:p w14:paraId="0C734A1C" w14:textId="2AD9EA2A" w:rsidR="00EC2967" w:rsidRPr="00D00051" w:rsidRDefault="00EC2967" w:rsidP="0091364B">
            <w:pPr>
              <w:spacing w:after="120" w:line="240" w:lineRule="auto"/>
              <w:rPr>
                <w:rFonts w:eastAsia="Arial" w:cstheme="minorHAnsi"/>
                <w:color w:val="4F81BD" w:themeColor="accent1"/>
                <w:sz w:val="20"/>
                <w:szCs w:val="20"/>
              </w:rPr>
            </w:pPr>
            <w:r>
              <w:rPr>
                <w:color w:val="4F81BD" w:themeColor="accent1"/>
                <w:sz w:val="20"/>
              </w:rPr>
              <w:t xml:space="preserve">(Insérer lien) </w:t>
            </w:r>
          </w:p>
        </w:tc>
      </w:tr>
      <w:tr w:rsidR="00675063" w:rsidRPr="00675063" w14:paraId="7A132779"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30C08F9C" w14:textId="4256DC37" w:rsidR="00675063" w:rsidRPr="00DA2A10" w:rsidRDefault="00675063" w:rsidP="0091364B">
            <w:pPr>
              <w:spacing w:after="120" w:line="240" w:lineRule="auto"/>
              <w:rPr>
                <w:rFonts w:cstheme="minorHAnsi"/>
                <w:color w:val="4F81BD" w:themeColor="accent1"/>
                <w:sz w:val="20"/>
                <w:szCs w:val="20"/>
              </w:rPr>
            </w:pPr>
            <w:r>
              <w:rPr>
                <w:color w:val="4F81BD" w:themeColor="accent1"/>
                <w:sz w:val="20"/>
              </w:rPr>
              <w:t xml:space="preserve">ANNEXE C </w:t>
            </w:r>
            <w:r w:rsidR="007D6B5E">
              <w:rPr>
                <w:color w:val="4F81BD" w:themeColor="accent1"/>
                <w:sz w:val="20"/>
              </w:rPr>
              <w:t>–</w:t>
            </w:r>
            <w:r>
              <w:rPr>
                <w:color w:val="4F81BD" w:themeColor="accent1"/>
                <w:sz w:val="20"/>
              </w:rPr>
              <w:t xml:space="preserve"> Questionnaire général sur les partenaires d’exécution </w:t>
            </w:r>
          </w:p>
        </w:tc>
        <w:tc>
          <w:tcPr>
            <w:tcW w:w="4873" w:type="dxa"/>
            <w:tcBorders>
              <w:top w:val="single" w:sz="2" w:space="0" w:color="000000"/>
              <w:left w:val="single" w:sz="2" w:space="0" w:color="000000"/>
              <w:bottom w:val="single" w:sz="2" w:space="0" w:color="000000"/>
              <w:right w:val="single" w:sz="2" w:space="0" w:color="000000"/>
            </w:tcBorders>
          </w:tcPr>
          <w:p w14:paraId="66523048" w14:textId="6DBF6B67" w:rsidR="00675063" w:rsidRPr="00D00051" w:rsidRDefault="00675063" w:rsidP="0091364B">
            <w:pPr>
              <w:spacing w:after="120" w:line="240" w:lineRule="auto"/>
              <w:rPr>
                <w:rFonts w:cstheme="minorHAnsi"/>
                <w:color w:val="4F81BD" w:themeColor="accent1"/>
                <w:sz w:val="20"/>
                <w:szCs w:val="20"/>
              </w:rPr>
            </w:pPr>
            <w:r>
              <w:rPr>
                <w:color w:val="4F81BD" w:themeColor="accent1"/>
                <w:sz w:val="20"/>
              </w:rPr>
              <w:t>(Insérer lien)</w:t>
            </w:r>
          </w:p>
        </w:tc>
      </w:tr>
      <w:tr w:rsidR="00EC2967" w:rsidRPr="00675063" w14:paraId="2813CAA8"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447EB199" w14:textId="33AAFCBD" w:rsidR="00EC2967" w:rsidRPr="00DA2A10" w:rsidRDefault="00675063" w:rsidP="0091364B">
            <w:pPr>
              <w:spacing w:after="120" w:line="240" w:lineRule="auto"/>
              <w:rPr>
                <w:rFonts w:cstheme="minorHAnsi"/>
                <w:color w:val="4F81BD" w:themeColor="accent1"/>
                <w:sz w:val="20"/>
                <w:szCs w:val="20"/>
              </w:rPr>
            </w:pPr>
            <w:r>
              <w:rPr>
                <w:color w:val="4F81BD" w:themeColor="accent1"/>
                <w:sz w:val="20"/>
              </w:rPr>
              <w:t xml:space="preserve">ANNEXE D </w:t>
            </w:r>
            <w:r w:rsidR="007D6B5E">
              <w:rPr>
                <w:color w:val="4F81BD" w:themeColor="accent1"/>
                <w:sz w:val="20"/>
              </w:rPr>
              <w:t>–</w:t>
            </w:r>
            <w:r>
              <w:rPr>
                <w:color w:val="4F81BD" w:themeColor="accent1"/>
                <w:sz w:val="20"/>
              </w:rPr>
              <w:t xml:space="preserve"> Modèle de note conceptuelle</w:t>
            </w:r>
          </w:p>
        </w:tc>
        <w:tc>
          <w:tcPr>
            <w:tcW w:w="4873" w:type="dxa"/>
            <w:tcBorders>
              <w:top w:val="single" w:sz="2" w:space="0" w:color="000000"/>
              <w:left w:val="single" w:sz="2" w:space="0" w:color="000000"/>
              <w:bottom w:val="single" w:sz="2" w:space="0" w:color="000000"/>
              <w:right w:val="single" w:sz="2" w:space="0" w:color="000000"/>
            </w:tcBorders>
          </w:tcPr>
          <w:p w14:paraId="4B7023A2" w14:textId="642D0976" w:rsidR="00EC2967" w:rsidRPr="00D00051" w:rsidRDefault="00EC2967" w:rsidP="0091364B">
            <w:pPr>
              <w:spacing w:after="120" w:line="240" w:lineRule="auto"/>
              <w:rPr>
                <w:rFonts w:cstheme="minorHAnsi"/>
                <w:color w:val="4F81BD" w:themeColor="accent1"/>
                <w:sz w:val="20"/>
                <w:szCs w:val="20"/>
              </w:rPr>
            </w:pPr>
            <w:r>
              <w:rPr>
                <w:color w:val="4F81BD" w:themeColor="accent1"/>
                <w:sz w:val="20"/>
              </w:rPr>
              <w:t xml:space="preserve">(Insérer lien) </w:t>
            </w:r>
          </w:p>
        </w:tc>
      </w:tr>
      <w:tr w:rsidR="00EC2967" w:rsidRPr="00675063" w14:paraId="2D71D991"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72321D9D" w14:textId="4E347916" w:rsidR="00EC2967" w:rsidRPr="00DA2A10" w:rsidRDefault="00675063" w:rsidP="0091364B">
            <w:pPr>
              <w:spacing w:after="120" w:line="240" w:lineRule="auto"/>
              <w:rPr>
                <w:rFonts w:eastAsia="Arial" w:cstheme="minorHAnsi"/>
                <w:color w:val="4F81BD" w:themeColor="accent1"/>
                <w:sz w:val="20"/>
                <w:szCs w:val="20"/>
              </w:rPr>
            </w:pPr>
            <w:r>
              <w:rPr>
                <w:color w:val="4F81BD" w:themeColor="accent1"/>
                <w:sz w:val="20"/>
              </w:rPr>
              <w:t xml:space="preserve">ANNEXE E </w:t>
            </w:r>
            <w:r w:rsidR="007D6B5E">
              <w:rPr>
                <w:color w:val="4F81BD" w:themeColor="accent1"/>
                <w:sz w:val="20"/>
              </w:rPr>
              <w:t>–</w:t>
            </w:r>
            <w:r>
              <w:rPr>
                <w:color w:val="4F81BD" w:themeColor="accent1"/>
                <w:sz w:val="20"/>
              </w:rPr>
              <w:t xml:space="preserve"> Modèles de rapports financiers et descriptifs</w:t>
            </w:r>
          </w:p>
        </w:tc>
        <w:tc>
          <w:tcPr>
            <w:tcW w:w="4873" w:type="dxa"/>
            <w:tcBorders>
              <w:top w:val="single" w:sz="2" w:space="0" w:color="000000"/>
              <w:left w:val="single" w:sz="2" w:space="0" w:color="000000"/>
              <w:bottom w:val="single" w:sz="2" w:space="0" w:color="000000"/>
              <w:right w:val="single" w:sz="2" w:space="0" w:color="000000"/>
            </w:tcBorders>
          </w:tcPr>
          <w:p w14:paraId="07A704DA" w14:textId="6615F811" w:rsidR="00EC2967" w:rsidRPr="00D00051" w:rsidRDefault="00EC2967" w:rsidP="0091364B">
            <w:pPr>
              <w:spacing w:after="120" w:line="240" w:lineRule="auto"/>
              <w:rPr>
                <w:rFonts w:cstheme="minorHAnsi"/>
                <w:sz w:val="20"/>
                <w:szCs w:val="20"/>
              </w:rPr>
            </w:pPr>
            <w:r>
              <w:rPr>
                <w:color w:val="4F81BD" w:themeColor="accent1"/>
                <w:sz w:val="20"/>
              </w:rPr>
              <w:t xml:space="preserve">(Insérer lien) </w:t>
            </w:r>
          </w:p>
        </w:tc>
      </w:tr>
      <w:tr w:rsidR="00EC2967" w:rsidRPr="00675063" w14:paraId="1B5A0981"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50BAA12B" w14:textId="52331C5D" w:rsidR="00EC2967" w:rsidRPr="00DA2A10" w:rsidRDefault="00675063" w:rsidP="0091364B">
            <w:pPr>
              <w:spacing w:after="120" w:line="240" w:lineRule="auto"/>
              <w:rPr>
                <w:rFonts w:eastAsia="Arial" w:cstheme="minorHAnsi"/>
                <w:color w:val="4F81BD" w:themeColor="accent1"/>
                <w:sz w:val="20"/>
                <w:szCs w:val="20"/>
              </w:rPr>
            </w:pPr>
            <w:r>
              <w:rPr>
                <w:color w:val="4F81BD" w:themeColor="accent1"/>
                <w:sz w:val="20"/>
              </w:rPr>
              <w:t xml:space="preserve">ANNEXE F </w:t>
            </w:r>
            <w:r w:rsidR="007D6B5E">
              <w:rPr>
                <w:color w:val="4F81BD" w:themeColor="accent1"/>
                <w:sz w:val="20"/>
              </w:rPr>
              <w:t>–</w:t>
            </w:r>
            <w:r>
              <w:rPr>
                <w:color w:val="4F81BD" w:themeColor="accent1"/>
                <w:sz w:val="20"/>
              </w:rPr>
              <w:t xml:space="preserve"> Modèle d’accord </w:t>
            </w:r>
            <w:r w:rsidR="002C7C2B">
              <w:rPr>
                <w:color w:val="4F81BD" w:themeColor="accent1"/>
                <w:sz w:val="20"/>
              </w:rPr>
              <w:t xml:space="preserve">relatif à l’exécution d’un </w:t>
            </w:r>
            <w:r>
              <w:rPr>
                <w:color w:val="4F81BD" w:themeColor="accent1"/>
                <w:sz w:val="20"/>
              </w:rPr>
              <w:t xml:space="preserve">projet </w:t>
            </w:r>
          </w:p>
        </w:tc>
        <w:tc>
          <w:tcPr>
            <w:tcW w:w="4873" w:type="dxa"/>
            <w:tcBorders>
              <w:top w:val="single" w:sz="2" w:space="0" w:color="000000"/>
              <w:left w:val="single" w:sz="2" w:space="0" w:color="000000"/>
              <w:bottom w:val="single" w:sz="2" w:space="0" w:color="000000"/>
              <w:right w:val="single" w:sz="2" w:space="0" w:color="000000"/>
            </w:tcBorders>
          </w:tcPr>
          <w:p w14:paraId="22C5DA72" w14:textId="73DA8894" w:rsidR="00EC2967" w:rsidRPr="00D00051" w:rsidRDefault="00EC2967" w:rsidP="0091364B">
            <w:pPr>
              <w:spacing w:after="120" w:line="240" w:lineRule="auto"/>
              <w:rPr>
                <w:rFonts w:cstheme="minorHAnsi"/>
                <w:sz w:val="20"/>
                <w:szCs w:val="20"/>
              </w:rPr>
            </w:pPr>
            <w:r>
              <w:rPr>
                <w:color w:val="4F81BD" w:themeColor="accent1"/>
                <w:sz w:val="20"/>
              </w:rPr>
              <w:t xml:space="preserve">(Insérer lien) </w:t>
            </w:r>
          </w:p>
        </w:tc>
      </w:tr>
      <w:tr w:rsidR="000B5EE6" w:rsidRPr="00675063" w14:paraId="02C259BB"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47FE54E8" w14:textId="46CA3D40" w:rsidR="000B5EE6" w:rsidRPr="00DA2A10" w:rsidRDefault="000B5EE6" w:rsidP="0091364B">
            <w:pPr>
              <w:spacing w:after="120" w:line="240" w:lineRule="auto"/>
              <w:rPr>
                <w:rFonts w:eastAsia="Arial" w:cstheme="minorHAnsi"/>
                <w:color w:val="4F81BD" w:themeColor="accent1"/>
                <w:sz w:val="20"/>
                <w:szCs w:val="20"/>
              </w:rPr>
            </w:pPr>
            <w:r>
              <w:rPr>
                <w:color w:val="4F81BD" w:themeColor="accent1"/>
                <w:sz w:val="20"/>
              </w:rPr>
              <w:t xml:space="preserve">ANNEXE G – Déclaration de conformité </w:t>
            </w:r>
            <w:r w:rsidR="002974ED">
              <w:rPr>
                <w:color w:val="4F81BD" w:themeColor="accent1"/>
                <w:sz w:val="20"/>
              </w:rPr>
              <w:t>à l’</w:t>
            </w:r>
            <w:r w:rsidR="001878EA">
              <w:rPr>
                <w:color w:val="4F81BD" w:themeColor="accent1"/>
                <w:sz w:val="20"/>
              </w:rPr>
              <w:t>intention</w:t>
            </w:r>
            <w:r w:rsidR="002974ED">
              <w:rPr>
                <w:color w:val="4F81BD" w:themeColor="accent1"/>
                <w:sz w:val="20"/>
              </w:rPr>
              <w:t xml:space="preserve"> des </w:t>
            </w:r>
            <w:r>
              <w:rPr>
                <w:color w:val="4F81BD" w:themeColor="accent1"/>
                <w:sz w:val="20"/>
              </w:rPr>
              <w:t>partenaires d’exécution</w:t>
            </w:r>
          </w:p>
        </w:tc>
        <w:tc>
          <w:tcPr>
            <w:tcW w:w="4873" w:type="dxa"/>
            <w:tcBorders>
              <w:top w:val="single" w:sz="2" w:space="0" w:color="000000"/>
              <w:left w:val="single" w:sz="2" w:space="0" w:color="000000"/>
              <w:bottom w:val="single" w:sz="2" w:space="0" w:color="000000"/>
              <w:right w:val="single" w:sz="2" w:space="0" w:color="000000"/>
            </w:tcBorders>
          </w:tcPr>
          <w:p w14:paraId="030C1D07" w14:textId="0E518460" w:rsidR="000B5EE6" w:rsidRPr="00D00051" w:rsidRDefault="00CF6E9D" w:rsidP="0091364B">
            <w:pPr>
              <w:spacing w:after="120" w:line="240" w:lineRule="auto"/>
              <w:rPr>
                <w:rFonts w:cstheme="minorHAnsi"/>
                <w:color w:val="4F81BD" w:themeColor="accent1"/>
                <w:sz w:val="20"/>
                <w:szCs w:val="20"/>
              </w:rPr>
            </w:pPr>
            <w:r>
              <w:rPr>
                <w:color w:val="4F81BD" w:themeColor="accent1"/>
                <w:sz w:val="20"/>
              </w:rPr>
              <w:t>(Insérer lien ou joindre document)</w:t>
            </w:r>
          </w:p>
        </w:tc>
      </w:tr>
      <w:tr w:rsidR="00EC2967" w:rsidRPr="00675063" w14:paraId="218322D8"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59E71C77" w14:textId="7EEF91DC" w:rsidR="00EC2967" w:rsidRPr="00DA2A10" w:rsidRDefault="00EC2967" w:rsidP="0091364B">
            <w:pPr>
              <w:spacing w:after="120" w:line="240" w:lineRule="auto"/>
              <w:rPr>
                <w:rFonts w:eastAsia="Arial" w:cstheme="minorHAnsi"/>
                <w:sz w:val="20"/>
                <w:szCs w:val="20"/>
              </w:rPr>
            </w:pPr>
            <w:r>
              <w:rPr>
                <w:color w:val="4F81BD" w:themeColor="accent1"/>
                <w:sz w:val="20"/>
              </w:rPr>
              <w:t>Veuillez ajouter tout</w:t>
            </w:r>
            <w:r w:rsidR="00023A28">
              <w:rPr>
                <w:color w:val="4F81BD" w:themeColor="accent1"/>
                <w:sz w:val="20"/>
              </w:rPr>
              <w:t xml:space="preserve"> autre</w:t>
            </w:r>
            <w:r>
              <w:rPr>
                <w:color w:val="4F81BD" w:themeColor="accent1"/>
                <w:sz w:val="20"/>
              </w:rPr>
              <w:t xml:space="preserve"> modèle pertinent</w:t>
            </w:r>
          </w:p>
        </w:tc>
        <w:tc>
          <w:tcPr>
            <w:tcW w:w="4873" w:type="dxa"/>
            <w:tcBorders>
              <w:top w:val="single" w:sz="2" w:space="0" w:color="000000"/>
              <w:left w:val="single" w:sz="2" w:space="0" w:color="000000"/>
              <w:bottom w:val="single" w:sz="2" w:space="0" w:color="000000"/>
              <w:right w:val="single" w:sz="2" w:space="0" w:color="000000"/>
            </w:tcBorders>
          </w:tcPr>
          <w:p w14:paraId="123BF719" w14:textId="21B67EE4" w:rsidR="00EC2967" w:rsidRPr="00D00051" w:rsidRDefault="00EC2967" w:rsidP="0091364B">
            <w:pPr>
              <w:spacing w:after="120" w:line="240" w:lineRule="auto"/>
              <w:rPr>
                <w:rFonts w:cstheme="minorHAnsi"/>
                <w:sz w:val="20"/>
                <w:szCs w:val="20"/>
              </w:rPr>
            </w:pPr>
            <w:r>
              <w:rPr>
                <w:color w:val="4F81BD" w:themeColor="accent1"/>
                <w:sz w:val="20"/>
              </w:rPr>
              <w:t xml:space="preserve">(Insérer lien) </w:t>
            </w:r>
          </w:p>
        </w:tc>
      </w:tr>
    </w:tbl>
    <w:p w14:paraId="1D8E2E41" w14:textId="77777777" w:rsidR="0024366C" w:rsidRPr="00675063" w:rsidRDefault="0024366C" w:rsidP="0091364B">
      <w:pPr>
        <w:spacing w:after="120" w:line="240" w:lineRule="auto"/>
        <w:rPr>
          <w:rFonts w:cstheme="minorHAnsi"/>
          <w:sz w:val="20"/>
          <w:szCs w:val="20"/>
        </w:rPr>
      </w:pPr>
    </w:p>
    <w:p w14:paraId="4A32D9E0" w14:textId="1F6D9244" w:rsidR="0024366C" w:rsidRPr="00B50929" w:rsidRDefault="00C529A8" w:rsidP="0091364B">
      <w:pPr>
        <w:spacing w:after="120" w:line="240" w:lineRule="auto"/>
        <w:rPr>
          <w:rFonts w:cstheme="minorHAnsi"/>
          <w:color w:val="4F81BD" w:themeColor="accent1"/>
        </w:rPr>
      </w:pPr>
      <w:r>
        <w:t>1</w:t>
      </w:r>
      <w:r w:rsidR="001B3FD8">
        <w:t>1.</w:t>
      </w:r>
      <w:r w:rsidR="001B3FD8">
        <w:tab/>
      </w:r>
      <w:r>
        <w:t xml:space="preserve"> </w:t>
      </w:r>
      <w:r>
        <w:rPr>
          <w:b/>
          <w:i/>
        </w:rPr>
        <w:t>Pour de plus amples informations sur ce</w:t>
      </w:r>
      <w:r w:rsidR="00050E4D">
        <w:rPr>
          <w:b/>
          <w:i/>
        </w:rPr>
        <w:t>tte possibilité de</w:t>
      </w:r>
      <w:r>
        <w:rPr>
          <w:b/>
          <w:i/>
        </w:rPr>
        <w:t xml:space="preserve"> partenariat et la procédure de candidature, veuillez consulter la page suivante</w:t>
      </w:r>
      <w:r w:rsidR="00BA0143">
        <w:rPr>
          <w:b/>
          <w:i/>
        </w:rPr>
        <w:t> </w:t>
      </w:r>
      <w:r>
        <w:rPr>
          <w:b/>
          <w:i/>
        </w:rPr>
        <w:t>:</w:t>
      </w:r>
      <w:r w:rsidR="0005111F">
        <w:rPr>
          <w:b/>
          <w:i/>
        </w:rPr>
        <w:t xml:space="preserve"> </w:t>
      </w:r>
      <w:r w:rsidR="0005111F">
        <w:rPr>
          <w:color w:val="4F81BD" w:themeColor="accent1"/>
        </w:rPr>
        <w:t>(</w:t>
      </w:r>
      <w:hyperlink r:id="rId11" w:history="1">
        <w:r w:rsidR="00DF721C" w:rsidRPr="009718AE">
          <w:rPr>
            <w:rStyle w:val="Lienhypertexte"/>
            <w:b/>
            <w:bCs/>
            <w:color w:val="0070C0"/>
          </w:rPr>
          <w:t>nigeripsccommittee@iom.int</w:t>
        </w:r>
      </w:hyperlink>
      <w:r w:rsidR="00DF721C">
        <w:t>)</w:t>
      </w:r>
    </w:p>
    <w:p w14:paraId="1E521C92" w14:textId="4F1EC011" w:rsidR="003A2CA0" w:rsidRPr="00C35ED9" w:rsidRDefault="003A2CA0" w:rsidP="0091364B">
      <w:pPr>
        <w:spacing w:after="120" w:line="240" w:lineRule="auto"/>
        <w:rPr>
          <w:rFonts w:cstheme="minorHAnsi"/>
          <w:color w:val="4F81BD" w:themeColor="accent1"/>
        </w:rPr>
      </w:pPr>
    </w:p>
    <w:p w14:paraId="49F0AD2C" w14:textId="7A628C12" w:rsidR="003A2CA0" w:rsidRPr="00C35ED9" w:rsidRDefault="003A2CA0" w:rsidP="0091364B">
      <w:pPr>
        <w:spacing w:after="120" w:line="240" w:lineRule="auto"/>
        <w:jc w:val="both"/>
        <w:rPr>
          <w:rFonts w:cstheme="minorHAnsi"/>
        </w:rPr>
      </w:pPr>
      <w:r>
        <w:t xml:space="preserve">Les organisations qui répondent à cet appel doivent apporter la preuve de leur capacité de </w:t>
      </w:r>
      <w:r w:rsidR="00050E4D">
        <w:t>mettre en œuvre</w:t>
      </w:r>
      <w:r>
        <w:t xml:space="preserve"> toutes les activités </w:t>
      </w:r>
      <w:r w:rsidR="00EC1C64">
        <w:t>indiquées</w:t>
      </w:r>
      <w:r w:rsidR="00050E4D">
        <w:t xml:space="preserve"> </w:t>
      </w:r>
      <w:r>
        <w:t>en une seule fois. Les candidatures partielles portant</w:t>
      </w:r>
      <w:r w:rsidR="001B3FD8">
        <w:t xml:space="preserve"> uniquement</w:t>
      </w:r>
      <w:r>
        <w:t xml:space="preserve"> sur certaines activités ne seront pas examinées. </w:t>
      </w:r>
    </w:p>
    <w:p w14:paraId="31303CF7" w14:textId="7D822689" w:rsidR="003A2CA0" w:rsidRPr="00C35ED9" w:rsidRDefault="003A2CA0" w:rsidP="0091364B">
      <w:pPr>
        <w:spacing w:after="120" w:line="240" w:lineRule="auto"/>
        <w:jc w:val="both"/>
        <w:rPr>
          <w:rFonts w:cstheme="minorHAnsi"/>
        </w:rPr>
      </w:pPr>
      <w:r>
        <w:t xml:space="preserve">L’OIM se réserve le droit d’annuler des activités planifiées ou d’en définir de nouvelles, et d’en réduire ou d’en élargir la portée. Les partenaires d’exécution retenus doivent se tenir prêts à </w:t>
      </w:r>
      <w:r w:rsidR="0084630C">
        <w:t xml:space="preserve">établir </w:t>
      </w:r>
      <w:r>
        <w:t>un budget détaillé fondé sur leur proposition d</w:t>
      </w:r>
      <w:r w:rsidR="000F0C3D">
        <w:t>ans un délai de d</w:t>
      </w:r>
      <w:r>
        <w:t xml:space="preserve">eux semaines après </w:t>
      </w:r>
      <w:r w:rsidR="0084630C">
        <w:t>avoir reçu</w:t>
      </w:r>
      <w:r w:rsidR="00AA0791">
        <w:t xml:space="preserve"> </w:t>
      </w:r>
      <w:r w:rsidR="000774AB">
        <w:t>l’avis</w:t>
      </w:r>
      <w:r w:rsidR="00AA0791">
        <w:t xml:space="preserve"> de sélection</w:t>
      </w:r>
      <w:r>
        <w:t xml:space="preserve"> </w:t>
      </w:r>
      <w:r w:rsidR="003073DF">
        <w:t xml:space="preserve">de </w:t>
      </w:r>
      <w:r>
        <w:t>l’OIM.</w:t>
      </w:r>
    </w:p>
    <w:p w14:paraId="7606357F" w14:textId="766782B4" w:rsidR="00FB2AA9" w:rsidRPr="00C35ED9" w:rsidRDefault="00FB2AA9" w:rsidP="0091364B">
      <w:pPr>
        <w:spacing w:after="120" w:line="240" w:lineRule="auto"/>
        <w:jc w:val="both"/>
        <w:rPr>
          <w:rFonts w:cstheme="minorHAnsi"/>
        </w:rPr>
      </w:pPr>
      <w:r>
        <w:t>Dans les deux semaines suivant la date limite de dépôt des notes conceptuelles, l’ensemble des candidats recevront un</w:t>
      </w:r>
      <w:r w:rsidR="00031A23">
        <w:t xml:space="preserve"> avis </w:t>
      </w:r>
      <w:r>
        <w:t xml:space="preserve">écrit les informant de l’issue du processus de sélection. En cas de demande de </w:t>
      </w:r>
      <w:r w:rsidR="00097D03">
        <w:t xml:space="preserve">précision </w:t>
      </w:r>
      <w:r>
        <w:t xml:space="preserve">de la part d’un candidat, l’OIM lui </w:t>
      </w:r>
      <w:r w:rsidR="00097D03">
        <w:t>répondra en indiquant</w:t>
      </w:r>
      <w:r>
        <w:t xml:space="preserve"> les mesures prises pour garantir la transparence et l’intégrité du processus de sélection. </w:t>
      </w:r>
    </w:p>
    <w:p w14:paraId="673F44FE" w14:textId="2A1F62C6" w:rsidR="00FB2AA9" w:rsidRPr="00C35ED9" w:rsidRDefault="00D6779D" w:rsidP="0091364B">
      <w:pPr>
        <w:spacing w:after="120" w:line="240" w:lineRule="auto"/>
        <w:jc w:val="both"/>
        <w:rPr>
          <w:rFonts w:cstheme="minorHAnsi"/>
        </w:rPr>
      </w:pPr>
      <w:r>
        <w:t>Pour des raisons de confidentialité, l</w:t>
      </w:r>
      <w:r w:rsidR="00FB2AA9">
        <w:t xml:space="preserve">’OIM se réserve le droit de ne pas divulguer </w:t>
      </w:r>
      <w:r>
        <w:t>d’informations précises concernant</w:t>
      </w:r>
      <w:r w:rsidR="00FB2AA9">
        <w:t xml:space="preserve"> </w:t>
      </w:r>
      <w:r>
        <w:t>l</w:t>
      </w:r>
      <w:r w:rsidR="00FB2AA9">
        <w:t xml:space="preserve">a décision </w:t>
      </w:r>
      <w:r>
        <w:t xml:space="preserve">prise par </w:t>
      </w:r>
      <w:r w:rsidR="00893604">
        <w:t>son bureau</w:t>
      </w:r>
      <w:r w:rsidR="00FB2AA9">
        <w:t xml:space="preserve">. </w:t>
      </w:r>
    </w:p>
    <w:p w14:paraId="0146A7DB" w14:textId="111D095E" w:rsidR="00FB2AA9" w:rsidRPr="00C35ED9" w:rsidRDefault="00AA0791" w:rsidP="0091364B">
      <w:pPr>
        <w:spacing w:after="120" w:line="240" w:lineRule="auto"/>
        <w:jc w:val="both"/>
        <w:rPr>
          <w:rFonts w:cstheme="minorHAnsi"/>
        </w:rPr>
      </w:pPr>
      <w:r>
        <w:t>L’OIM</w:t>
      </w:r>
      <w:r w:rsidR="00FB2AA9">
        <w:t xml:space="preserve"> se réserve le droit d’accepter ou de rejeter toute manifestation d’intérêt, et d’annuler le processus de sélection ou de rejeter toutes les </w:t>
      </w:r>
      <w:r w:rsidR="00514DF7">
        <w:t xml:space="preserve">expressions d’intérêt </w:t>
      </w:r>
      <w:r w:rsidR="00FB2AA9">
        <w:t xml:space="preserve">à tout moment, sans engager sa responsabilité auprès des partenaires d’exécution concernés. </w:t>
      </w:r>
    </w:p>
    <w:p w14:paraId="454CE542" w14:textId="2B55A8FA" w:rsidR="00FB2AA9" w:rsidRPr="00C35ED9" w:rsidRDefault="00FB2AA9" w:rsidP="38D0D477">
      <w:pPr>
        <w:spacing w:after="120" w:line="240" w:lineRule="auto"/>
        <w:jc w:val="both"/>
        <w:rPr>
          <w:color w:val="4F81BD" w:themeColor="accent1"/>
        </w:rPr>
      </w:pPr>
      <w:r>
        <w:t>Pour de plus amples informations, veuillez écrire à l’adresse suivante</w:t>
      </w:r>
      <w:r w:rsidR="00BA0143">
        <w:t> </w:t>
      </w:r>
      <w:r>
        <w:t xml:space="preserve">: </w:t>
      </w:r>
      <w:r>
        <w:rPr>
          <w:color w:val="4F81BD" w:themeColor="accent1"/>
        </w:rPr>
        <w:t>(</w:t>
      </w:r>
      <w:hyperlink r:id="rId12" w:history="1">
        <w:r w:rsidR="006253A8" w:rsidRPr="009718AE">
          <w:rPr>
            <w:rStyle w:val="Lienhypertexte"/>
            <w:b/>
            <w:bCs/>
            <w:color w:val="0070C0"/>
          </w:rPr>
          <w:t>nigeripsccommittee@iom.int</w:t>
        </w:r>
      </w:hyperlink>
      <w:r>
        <w:rPr>
          <w:color w:val="4F81BD" w:themeColor="accent1"/>
        </w:rPr>
        <w:t>).</w:t>
      </w:r>
    </w:p>
    <w:p w14:paraId="057A1673" w14:textId="1AA17C25" w:rsidR="00FB2AA9" w:rsidRPr="00675063" w:rsidRDefault="00FB2AA9" w:rsidP="0091364B">
      <w:pPr>
        <w:spacing w:after="120" w:line="240" w:lineRule="auto"/>
        <w:rPr>
          <w:rFonts w:cstheme="minorHAnsi"/>
        </w:rPr>
      </w:pPr>
    </w:p>
    <w:p w14:paraId="47129E51" w14:textId="3D7AAF7A" w:rsidR="0010606D" w:rsidRPr="00675063" w:rsidRDefault="0010606D" w:rsidP="0091364B">
      <w:pPr>
        <w:spacing w:after="120" w:line="240" w:lineRule="auto"/>
        <w:jc w:val="center"/>
        <w:rPr>
          <w:rFonts w:cstheme="minorHAnsi"/>
          <w:b/>
          <w:bCs/>
        </w:rPr>
      </w:pPr>
      <w:r>
        <w:rPr>
          <w:b/>
        </w:rPr>
        <w:t>Directives relatives à la soumission des manifestations d’intérêt</w:t>
      </w:r>
    </w:p>
    <w:p w14:paraId="11D07525" w14:textId="7DCE15D1" w:rsidR="0010606D" w:rsidRPr="00675063" w:rsidRDefault="0010606D" w:rsidP="0091364B">
      <w:pPr>
        <w:spacing w:after="120" w:line="240" w:lineRule="auto"/>
        <w:jc w:val="both"/>
        <w:rPr>
          <w:rFonts w:cstheme="minorHAnsi"/>
        </w:rPr>
      </w:pPr>
      <w:r>
        <w:t xml:space="preserve">Le présent document </w:t>
      </w:r>
      <w:r w:rsidR="00A7444F">
        <w:t xml:space="preserve">renferme </w:t>
      </w:r>
      <w:r>
        <w:t xml:space="preserve">les instructions relatives à </w:t>
      </w:r>
      <w:r w:rsidR="00CE6EB2">
        <w:t xml:space="preserve">la </w:t>
      </w:r>
      <w:r>
        <w:t xml:space="preserve">constitution et </w:t>
      </w:r>
      <w:r w:rsidR="00CE6EB2">
        <w:t xml:space="preserve">à la </w:t>
      </w:r>
      <w:r>
        <w:t xml:space="preserve">soumission des </w:t>
      </w:r>
      <w:r w:rsidR="00FE5768">
        <w:t xml:space="preserve">dossiers de </w:t>
      </w:r>
      <w:r>
        <w:t xml:space="preserve">candidature, y compris de l’annexe A (informations </w:t>
      </w:r>
      <w:r w:rsidR="00AF452D">
        <w:t>relatives aux</w:t>
      </w:r>
      <w:r>
        <w:t xml:space="preserve"> partenaires d’exécution).</w:t>
      </w:r>
    </w:p>
    <w:p w14:paraId="5530DF1C" w14:textId="11F6A62D" w:rsidR="0010606D" w:rsidRPr="00146B6E" w:rsidRDefault="0010606D" w:rsidP="00ED24B6">
      <w:pPr>
        <w:pStyle w:val="Paragraphedeliste"/>
        <w:numPr>
          <w:ilvl w:val="0"/>
          <w:numId w:val="2"/>
        </w:numPr>
        <w:spacing w:after="120" w:line="240" w:lineRule="auto"/>
        <w:contextualSpacing w:val="0"/>
        <w:jc w:val="both"/>
        <w:rPr>
          <w:rFonts w:cstheme="minorHAnsi"/>
        </w:rPr>
      </w:pPr>
      <w:r>
        <w:t xml:space="preserve">Les candidatures doivent être soumises en personne ou envoyées par voie postale dans une enveloppe scellée </w:t>
      </w:r>
      <w:r w:rsidR="00AF452D">
        <w:t>à l’attention du</w:t>
      </w:r>
      <w:r>
        <w:t xml:space="preserve"> bureau de l’OIM à </w:t>
      </w:r>
      <w:r w:rsidR="009718AE" w:rsidRPr="001D42B4">
        <w:rPr>
          <w:b/>
          <w:bCs/>
          <w:color w:val="0070C0"/>
        </w:rPr>
        <w:t xml:space="preserve">Avenue Issa </w:t>
      </w:r>
      <w:proofErr w:type="spellStart"/>
      <w:r w:rsidR="009718AE" w:rsidRPr="001D42B4">
        <w:rPr>
          <w:b/>
          <w:bCs/>
          <w:color w:val="0070C0"/>
        </w:rPr>
        <w:t>Beri</w:t>
      </w:r>
      <w:proofErr w:type="spellEnd"/>
      <w:r w:rsidR="009718AE" w:rsidRPr="001D42B4">
        <w:rPr>
          <w:b/>
          <w:bCs/>
          <w:color w:val="0070C0"/>
        </w:rPr>
        <w:t xml:space="preserve">, Rue IB-42, Porte 125, Plateau, </w:t>
      </w:r>
      <w:proofErr w:type="spellStart"/>
      <w:r w:rsidR="009718AE" w:rsidRPr="001D42B4">
        <w:rPr>
          <w:b/>
          <w:bCs/>
          <w:color w:val="0070C0"/>
        </w:rPr>
        <w:t>Yantala</w:t>
      </w:r>
      <w:proofErr w:type="spellEnd"/>
      <w:r w:rsidR="009718AE" w:rsidRPr="001D42B4">
        <w:rPr>
          <w:b/>
          <w:bCs/>
          <w:color w:val="0070C0"/>
        </w:rPr>
        <w:t xml:space="preserve"> Haut</w:t>
      </w:r>
      <w:r>
        <w:t xml:space="preserve">, </w:t>
      </w:r>
      <w:r w:rsidR="00570714" w:rsidRPr="00570714">
        <w:rPr>
          <w:b/>
          <w:bCs/>
          <w:color w:val="0070C0"/>
        </w:rPr>
        <w:t>le</w:t>
      </w:r>
      <w:r>
        <w:t xml:space="preserve"> </w:t>
      </w:r>
      <w:r w:rsidR="00CB2B37">
        <w:rPr>
          <w:b/>
          <w:bCs/>
          <w:color w:val="0070C0"/>
        </w:rPr>
        <w:t>Lundi</w:t>
      </w:r>
      <w:r w:rsidR="001D42B4" w:rsidRPr="001D42B4">
        <w:rPr>
          <w:b/>
          <w:bCs/>
          <w:color w:val="0070C0"/>
        </w:rPr>
        <w:t xml:space="preserve"> </w:t>
      </w:r>
      <w:r w:rsidR="00B81A3D">
        <w:rPr>
          <w:b/>
          <w:bCs/>
          <w:color w:val="0070C0"/>
        </w:rPr>
        <w:t>22</w:t>
      </w:r>
      <w:r w:rsidR="001D42B4" w:rsidRPr="001D42B4">
        <w:rPr>
          <w:b/>
          <w:bCs/>
          <w:color w:val="0070C0"/>
        </w:rPr>
        <w:t xml:space="preserve"> </w:t>
      </w:r>
      <w:r w:rsidR="00CB2B37">
        <w:rPr>
          <w:b/>
          <w:bCs/>
          <w:color w:val="0070C0"/>
        </w:rPr>
        <w:t>Septem</w:t>
      </w:r>
      <w:r w:rsidR="00286AFA">
        <w:rPr>
          <w:b/>
          <w:bCs/>
          <w:color w:val="0070C0"/>
        </w:rPr>
        <w:t>bre</w:t>
      </w:r>
      <w:r w:rsidR="00505C05">
        <w:rPr>
          <w:b/>
          <w:bCs/>
          <w:color w:val="0070C0"/>
        </w:rPr>
        <w:t xml:space="preserve"> </w:t>
      </w:r>
      <w:r w:rsidR="001D42B4" w:rsidRPr="001D42B4">
        <w:rPr>
          <w:b/>
          <w:bCs/>
          <w:color w:val="0070C0"/>
        </w:rPr>
        <w:t>202</w:t>
      </w:r>
      <w:r w:rsidR="009D52A6">
        <w:rPr>
          <w:b/>
          <w:bCs/>
          <w:color w:val="0070C0"/>
        </w:rPr>
        <w:t>5</w:t>
      </w:r>
      <w:r w:rsidR="001D42B4" w:rsidRPr="001D42B4">
        <w:rPr>
          <w:b/>
          <w:bCs/>
          <w:color w:val="0070C0"/>
        </w:rPr>
        <w:t xml:space="preserve"> à 17 heures 30 mn</w:t>
      </w:r>
      <w:r>
        <w:t xml:space="preserve"> au plus </w:t>
      </w:r>
      <w:r w:rsidR="00B51B1B">
        <w:t>tard,</w:t>
      </w:r>
      <w:r w:rsidR="00663BB2">
        <w:t xml:space="preserve"> </w:t>
      </w:r>
      <w:r w:rsidR="00020319">
        <w:t>une fois soumis une fiche au niveau de la guérite doit être remplie et signée par le soumissionnaire</w:t>
      </w:r>
      <w:r>
        <w:t xml:space="preserve">. Les candidatures soumises après </w:t>
      </w:r>
      <w:r w:rsidR="00914406">
        <w:t>le délai fixé</w:t>
      </w:r>
      <w:r>
        <w:t xml:space="preserve"> ne seront pas </w:t>
      </w:r>
      <w:r w:rsidR="00AF452D">
        <w:t>prises en compte</w:t>
      </w:r>
      <w:r>
        <w:t>.</w:t>
      </w:r>
    </w:p>
    <w:p w14:paraId="5272E777" w14:textId="0D1959DD" w:rsidR="0010606D" w:rsidRPr="00146B6E" w:rsidRDefault="004D3A2E" w:rsidP="00ED24B6">
      <w:pPr>
        <w:pStyle w:val="Paragraphedeliste"/>
        <w:numPr>
          <w:ilvl w:val="0"/>
          <w:numId w:val="2"/>
        </w:numPr>
        <w:spacing w:after="120" w:line="240" w:lineRule="auto"/>
        <w:contextualSpacing w:val="0"/>
        <w:jc w:val="both"/>
        <w:rPr>
          <w:rFonts w:cstheme="minorHAnsi"/>
        </w:rPr>
      </w:pPr>
      <w:r>
        <w:lastRenderedPageBreak/>
        <w:t>Une description détaillée de l</w:t>
      </w:r>
      <w:r w:rsidR="0010606D">
        <w:t xml:space="preserve">a manière dont </w:t>
      </w:r>
      <w:r w:rsidR="00B15E87">
        <w:t xml:space="preserve">les </w:t>
      </w:r>
      <w:r w:rsidR="0010606D">
        <w:t xml:space="preserve">compétences, </w:t>
      </w:r>
      <w:r w:rsidR="00B15E87">
        <w:t>l’</w:t>
      </w:r>
      <w:r w:rsidR="0010606D">
        <w:t xml:space="preserve">expérience, </w:t>
      </w:r>
      <w:r w:rsidR="00B15E87">
        <w:t xml:space="preserve">les </w:t>
      </w:r>
      <w:r w:rsidR="0010606D">
        <w:t xml:space="preserve">connaissances et </w:t>
      </w:r>
      <w:r w:rsidR="00B15E87">
        <w:t>l’</w:t>
      </w:r>
      <w:r w:rsidR="0010606D">
        <w:t xml:space="preserve">expertise </w:t>
      </w:r>
      <w:r w:rsidR="00B15E87">
        <w:t xml:space="preserve">des partenaires d’exécution </w:t>
      </w:r>
      <w:r>
        <w:t>répond</w:t>
      </w:r>
      <w:r w:rsidR="00A201DC">
        <w:t>ent</w:t>
      </w:r>
      <w:r>
        <w:t xml:space="preserve"> aux exigences </w:t>
      </w:r>
      <w:r w:rsidR="0010606D">
        <w:t>énoncées dans l’appel à manifestation d’intérêt publié par l’OIM</w:t>
      </w:r>
      <w:r>
        <w:t xml:space="preserve"> devra être fournie</w:t>
      </w:r>
      <w:r w:rsidR="0010606D">
        <w:t>.</w:t>
      </w:r>
    </w:p>
    <w:p w14:paraId="6F8C5834" w14:textId="4FE3A07C" w:rsidR="0010606D" w:rsidRPr="00146B6E" w:rsidRDefault="0010606D" w:rsidP="00ED24B6">
      <w:pPr>
        <w:pStyle w:val="Paragraphedeliste"/>
        <w:numPr>
          <w:ilvl w:val="0"/>
          <w:numId w:val="2"/>
        </w:numPr>
        <w:spacing w:after="120" w:line="240" w:lineRule="auto"/>
        <w:jc w:val="both"/>
      </w:pPr>
      <w:r>
        <w:t>Les candidats doivent soumettre les originaux ainsi qu</w:t>
      </w:r>
      <w:r w:rsidR="00AF452D">
        <w:t>’une</w:t>
      </w:r>
      <w:r>
        <w:t xml:space="preserve"> copie des documents </w:t>
      </w:r>
      <w:r w:rsidR="008559D5">
        <w:t>du dossier de candidature</w:t>
      </w:r>
      <w:r>
        <w:t>, en précisant sur chaque enveloppe «</w:t>
      </w:r>
      <w:r w:rsidR="00BA0143">
        <w:t> </w:t>
      </w:r>
      <w:r>
        <w:t>original</w:t>
      </w:r>
      <w:r w:rsidR="00BA0143">
        <w:t> </w:t>
      </w:r>
      <w:r>
        <w:t>» et «</w:t>
      </w:r>
      <w:r w:rsidR="00BA0143">
        <w:t> </w:t>
      </w:r>
      <w:r>
        <w:t>copie</w:t>
      </w:r>
      <w:r w:rsidR="00BA0143">
        <w:t> </w:t>
      </w:r>
      <w:r>
        <w:t xml:space="preserve">». En cas de </w:t>
      </w:r>
      <w:r w:rsidR="004A7B9E">
        <w:t xml:space="preserve">divergence </w:t>
      </w:r>
      <w:r>
        <w:t xml:space="preserve">entre </w:t>
      </w:r>
      <w:r w:rsidR="004A7B9E">
        <w:t>l’original et la copie, ce premier prévaut</w:t>
      </w:r>
      <w:r>
        <w:t xml:space="preserve">. Les deux enveloppes susmentionnées doivent être placées dans </w:t>
      </w:r>
      <w:r w:rsidRPr="00F94C96">
        <w:t xml:space="preserve">une seule </w:t>
      </w:r>
      <w:r w:rsidR="00F94C96" w:rsidRPr="00F94C96">
        <w:t xml:space="preserve">et </w:t>
      </w:r>
      <w:r w:rsidRPr="00F94C96">
        <w:t>même</w:t>
      </w:r>
      <w:r w:rsidRPr="00A24579">
        <w:t xml:space="preserve"> </w:t>
      </w:r>
      <w:r>
        <w:t xml:space="preserve">enveloppe scellée. Sur cette dernière, il convient </w:t>
      </w:r>
      <w:r w:rsidR="00953BFC">
        <w:t>d’indiquer</w:t>
      </w:r>
      <w:r>
        <w:t xml:space="preserve"> l’adresse </w:t>
      </w:r>
      <w:r w:rsidR="00847AF8">
        <w:t>d’envoi de</w:t>
      </w:r>
      <w:r w:rsidR="00953BFC">
        <w:t xml:space="preserve"> la soumission</w:t>
      </w:r>
      <w:r>
        <w:t xml:space="preserve">, le numéro de référence et l’intitulé du projet, </w:t>
      </w:r>
      <w:r w:rsidR="00953BFC">
        <w:t xml:space="preserve">ainsi que </w:t>
      </w:r>
      <w:r>
        <w:t>le nom du partenaire d’exécution.</w:t>
      </w:r>
    </w:p>
    <w:p w14:paraId="624AFD11" w14:textId="3D4ADC08" w:rsidR="0010606D" w:rsidRPr="00146B6E" w:rsidRDefault="0010606D" w:rsidP="00ED24B6">
      <w:pPr>
        <w:pStyle w:val="Paragraphedeliste"/>
        <w:numPr>
          <w:ilvl w:val="0"/>
          <w:numId w:val="2"/>
        </w:numPr>
        <w:spacing w:after="120" w:line="240" w:lineRule="auto"/>
        <w:contextualSpacing w:val="0"/>
        <w:jc w:val="both"/>
        <w:rPr>
          <w:rFonts w:cstheme="minorHAnsi"/>
        </w:rPr>
      </w:pPr>
      <w:r>
        <w:t xml:space="preserve">Les candidatures doivent être soumises en </w:t>
      </w:r>
      <w:r w:rsidR="0081678E">
        <w:t>Français</w:t>
      </w:r>
      <w:r>
        <w:t xml:space="preserve"> et au format demandé par l’OIM dans l’appel à manifestation d’intérêt. Il est impératif de fournir toutes les informations demandées, en répondant de manière claire et concise à tous les </w:t>
      </w:r>
      <w:r w:rsidR="00F80B59">
        <w:t>points</w:t>
      </w:r>
      <w:r w:rsidR="00AA4ACC">
        <w:t xml:space="preserve"> énoncés dans l’appel</w:t>
      </w:r>
      <w:r>
        <w:t xml:space="preserve">. Toute candidature qui ne répond pas pleinement à l’ensemble de ces critères </w:t>
      </w:r>
      <w:r w:rsidR="00AA4ACC">
        <w:t xml:space="preserve">pourra être </w:t>
      </w:r>
      <w:r>
        <w:t>rejetée.</w:t>
      </w:r>
    </w:p>
    <w:p w14:paraId="086FBBBA" w14:textId="165AA5DC" w:rsidR="0010606D" w:rsidRPr="00146B6E" w:rsidRDefault="0010606D" w:rsidP="00ED24B6">
      <w:pPr>
        <w:pStyle w:val="Paragraphedeliste"/>
        <w:numPr>
          <w:ilvl w:val="0"/>
          <w:numId w:val="2"/>
        </w:numPr>
        <w:spacing w:after="120" w:line="240" w:lineRule="auto"/>
        <w:contextualSpacing w:val="0"/>
        <w:jc w:val="both"/>
        <w:rPr>
          <w:rFonts w:cstheme="minorHAnsi"/>
        </w:rPr>
      </w:pPr>
      <w:r>
        <w:t xml:space="preserve">Le dossier de candidature doit contenir les </w:t>
      </w:r>
      <w:r w:rsidR="002252CF">
        <w:t>documents</w:t>
      </w:r>
      <w:r>
        <w:t xml:space="preserve"> suivants</w:t>
      </w:r>
      <w:r w:rsidR="00BA0143">
        <w:t> </w:t>
      </w:r>
      <w:r>
        <w:t>:</w:t>
      </w:r>
    </w:p>
    <w:p w14:paraId="22C83C9E" w14:textId="11AE6997" w:rsidR="0010606D" w:rsidRPr="003D76C3" w:rsidRDefault="000B1DDE" w:rsidP="00ED24B6">
      <w:pPr>
        <w:pStyle w:val="Paragraphedeliste"/>
        <w:numPr>
          <w:ilvl w:val="1"/>
          <w:numId w:val="2"/>
        </w:numPr>
        <w:spacing w:after="120" w:line="240" w:lineRule="auto"/>
        <w:contextualSpacing w:val="0"/>
        <w:jc w:val="both"/>
        <w:rPr>
          <w:rFonts w:cstheme="minorHAnsi"/>
          <w:b/>
          <w:bCs/>
        </w:rPr>
      </w:pPr>
      <w:r w:rsidRPr="003D76C3">
        <w:rPr>
          <w:b/>
          <w:bCs/>
        </w:rPr>
        <w:t>Une</w:t>
      </w:r>
      <w:r w:rsidR="0010606D" w:rsidRPr="003D76C3">
        <w:rPr>
          <w:b/>
          <w:bCs/>
        </w:rPr>
        <w:t xml:space="preserve"> lettre </w:t>
      </w:r>
      <w:r w:rsidR="00E8489F" w:rsidRPr="003D76C3">
        <w:rPr>
          <w:b/>
          <w:bCs/>
        </w:rPr>
        <w:t>d’accompagnement</w:t>
      </w:r>
      <w:r w:rsidR="00BA0143" w:rsidRPr="003D76C3">
        <w:rPr>
          <w:b/>
          <w:bCs/>
        </w:rPr>
        <w:t> </w:t>
      </w:r>
      <w:r w:rsidR="0010606D" w:rsidRPr="003D76C3">
        <w:rPr>
          <w:b/>
          <w:bCs/>
        </w:rPr>
        <w:t>;</w:t>
      </w:r>
      <w:r w:rsidR="00783E1C" w:rsidRPr="00783E1C">
        <w:rPr>
          <w:rFonts w:cstheme="minorHAnsi"/>
          <w:b/>
          <w:bCs/>
          <w:color w:val="FF0000"/>
        </w:rPr>
        <w:t xml:space="preserve"> </w:t>
      </w:r>
      <w:r w:rsidR="00783E1C">
        <w:rPr>
          <w:rFonts w:cstheme="minorHAnsi"/>
          <w:b/>
          <w:bCs/>
          <w:color w:val="FF0000"/>
        </w:rPr>
        <w:t>Obligatoire</w:t>
      </w:r>
    </w:p>
    <w:p w14:paraId="4C27498E" w14:textId="3CA9A901" w:rsidR="00665CEF" w:rsidRPr="000B1DDE" w:rsidRDefault="007339AC" w:rsidP="00ED24B6">
      <w:pPr>
        <w:pStyle w:val="Paragraphedeliste"/>
        <w:numPr>
          <w:ilvl w:val="1"/>
          <w:numId w:val="2"/>
        </w:numPr>
        <w:spacing w:after="120" w:line="240" w:lineRule="auto"/>
        <w:contextualSpacing w:val="0"/>
        <w:jc w:val="both"/>
        <w:rPr>
          <w:rFonts w:cstheme="minorHAnsi"/>
          <w:b/>
          <w:bCs/>
        </w:rPr>
      </w:pPr>
      <w:r w:rsidRPr="000B1DDE">
        <w:rPr>
          <w:rFonts w:cstheme="minorHAnsi"/>
          <w:b/>
          <w:bCs/>
          <w:szCs w:val="24"/>
        </w:rPr>
        <w:t>Offre technique (</w:t>
      </w:r>
      <w:r w:rsidR="00D34337" w:rsidRPr="000B1DDE">
        <w:rPr>
          <w:rFonts w:cstheme="minorHAnsi"/>
          <w:b/>
          <w:bCs/>
        </w:rPr>
        <w:t xml:space="preserve">Une note conceptuelle signée et </w:t>
      </w:r>
      <w:r w:rsidR="002252CF" w:rsidRPr="000B1DDE">
        <w:rPr>
          <w:rFonts w:cstheme="minorHAnsi"/>
          <w:b/>
          <w:bCs/>
        </w:rPr>
        <w:t>cachetée)</w:t>
      </w:r>
      <w:r w:rsidR="000215E7" w:rsidRPr="000B1DDE">
        <w:rPr>
          <w:rFonts w:cstheme="minorHAnsi"/>
          <w:b/>
          <w:bCs/>
          <w:color w:val="FF0000"/>
        </w:rPr>
        <w:t xml:space="preserve"> </w:t>
      </w:r>
      <w:bookmarkStart w:id="0" w:name="_Hlk206225935"/>
      <w:r w:rsidR="00D82CB6">
        <w:rPr>
          <w:rFonts w:cstheme="minorHAnsi"/>
          <w:b/>
          <w:bCs/>
          <w:color w:val="FF0000"/>
        </w:rPr>
        <w:t>Obligatoire</w:t>
      </w:r>
      <w:bookmarkEnd w:id="0"/>
    </w:p>
    <w:p w14:paraId="47F2F810" w14:textId="21CC4B13" w:rsidR="007339AC" w:rsidRPr="003D76C3" w:rsidRDefault="000215E7" w:rsidP="00ED24B6">
      <w:pPr>
        <w:pStyle w:val="Paragraphedeliste"/>
        <w:numPr>
          <w:ilvl w:val="1"/>
          <w:numId w:val="2"/>
        </w:numPr>
        <w:spacing w:after="120" w:line="240" w:lineRule="auto"/>
        <w:contextualSpacing w:val="0"/>
        <w:jc w:val="both"/>
        <w:rPr>
          <w:b/>
          <w:bCs/>
        </w:rPr>
      </w:pPr>
      <w:r w:rsidRPr="003D76C3">
        <w:rPr>
          <w:b/>
          <w:bCs/>
        </w:rPr>
        <w:t>Un Budget signé et Cacheté (Offre financière) ;</w:t>
      </w:r>
      <w:r w:rsidR="00D82CB6" w:rsidRPr="00D82CB6">
        <w:rPr>
          <w:rFonts w:cstheme="minorHAnsi"/>
          <w:b/>
          <w:bCs/>
          <w:color w:val="FF0000"/>
        </w:rPr>
        <w:t xml:space="preserve"> </w:t>
      </w:r>
      <w:r w:rsidR="00D82CB6">
        <w:rPr>
          <w:rFonts w:cstheme="minorHAnsi"/>
          <w:b/>
          <w:bCs/>
          <w:color w:val="FF0000"/>
        </w:rPr>
        <w:t>Obligatoire</w:t>
      </w:r>
    </w:p>
    <w:p w14:paraId="20C12F50" w14:textId="6D6554A2" w:rsidR="003060CC" w:rsidRPr="003D76C3" w:rsidRDefault="000B1DDE" w:rsidP="00ED24B6">
      <w:pPr>
        <w:pStyle w:val="Paragraphedeliste"/>
        <w:numPr>
          <w:ilvl w:val="1"/>
          <w:numId w:val="2"/>
        </w:numPr>
        <w:spacing w:after="120" w:line="240" w:lineRule="auto"/>
        <w:contextualSpacing w:val="0"/>
        <w:jc w:val="both"/>
        <w:rPr>
          <w:b/>
          <w:bCs/>
        </w:rPr>
      </w:pPr>
      <w:r w:rsidRPr="003D76C3">
        <w:rPr>
          <w:b/>
          <w:bCs/>
        </w:rPr>
        <w:t>Au</w:t>
      </w:r>
      <w:r w:rsidR="003223FB" w:rsidRPr="003D76C3">
        <w:rPr>
          <w:b/>
          <w:bCs/>
        </w:rPr>
        <w:t xml:space="preserve"> moins </w:t>
      </w:r>
      <w:r w:rsidR="00AB1799">
        <w:rPr>
          <w:b/>
          <w:bCs/>
        </w:rPr>
        <w:t>3</w:t>
      </w:r>
      <w:r w:rsidR="003223FB" w:rsidRPr="003D76C3">
        <w:rPr>
          <w:b/>
          <w:bCs/>
        </w:rPr>
        <w:t xml:space="preserve"> ans d’expérience en matière d</w:t>
      </w:r>
      <w:r w:rsidR="00783E1C">
        <w:rPr>
          <w:b/>
          <w:bCs/>
        </w:rPr>
        <w:t>e conception et mise en œuvre de programmes et activités SMSPS ou domaines</w:t>
      </w:r>
      <w:r w:rsidR="003223FB" w:rsidRPr="003D76C3">
        <w:rPr>
          <w:b/>
          <w:bCs/>
        </w:rPr>
        <w:t xml:space="preserve"> similaires ;</w:t>
      </w:r>
      <w:r w:rsidR="00356F79" w:rsidRPr="003D76C3">
        <w:rPr>
          <w:b/>
          <w:bCs/>
        </w:rPr>
        <w:t xml:space="preserve"> </w:t>
      </w:r>
    </w:p>
    <w:p w14:paraId="1B796124" w14:textId="60F1C691" w:rsidR="0040287D" w:rsidRPr="003D76C3" w:rsidRDefault="00356F79" w:rsidP="00ED24B6">
      <w:pPr>
        <w:pStyle w:val="Paragraphedeliste"/>
        <w:numPr>
          <w:ilvl w:val="1"/>
          <w:numId w:val="2"/>
        </w:numPr>
        <w:spacing w:after="120" w:line="240" w:lineRule="auto"/>
        <w:contextualSpacing w:val="0"/>
        <w:jc w:val="both"/>
        <w:rPr>
          <w:b/>
          <w:bCs/>
        </w:rPr>
      </w:pPr>
      <w:r w:rsidRPr="003D76C3">
        <w:rPr>
          <w:b/>
          <w:bCs/>
        </w:rPr>
        <w:t>L’organigramme du personnel </w:t>
      </w:r>
      <w:r w:rsidR="007335E7">
        <w:rPr>
          <w:b/>
          <w:bCs/>
        </w:rPr>
        <w:t>(</w:t>
      </w:r>
      <w:r w:rsidR="007335E7" w:rsidRPr="000B1DDE">
        <w:rPr>
          <w:rFonts w:cstheme="minorHAnsi"/>
          <w:b/>
          <w:bCs/>
        </w:rPr>
        <w:t>signé et cacheté</w:t>
      </w:r>
      <w:r w:rsidR="007335E7">
        <w:rPr>
          <w:rFonts w:cstheme="minorHAnsi"/>
          <w:b/>
          <w:bCs/>
        </w:rPr>
        <w:t>)</w:t>
      </w:r>
    </w:p>
    <w:p w14:paraId="0DFF0AB2" w14:textId="39008CA5" w:rsidR="007D6FD9" w:rsidRPr="006F76BD" w:rsidRDefault="0040287D" w:rsidP="00ED24B6">
      <w:pPr>
        <w:pStyle w:val="Paragraphedeliste"/>
        <w:numPr>
          <w:ilvl w:val="1"/>
          <w:numId w:val="2"/>
        </w:numPr>
        <w:spacing w:after="120" w:line="240" w:lineRule="auto"/>
        <w:contextualSpacing w:val="0"/>
        <w:jc w:val="both"/>
        <w:rPr>
          <w:b/>
          <w:bCs/>
        </w:rPr>
      </w:pPr>
      <w:proofErr w:type="spellStart"/>
      <w:r w:rsidRPr="003D76C3">
        <w:rPr>
          <w:rFonts w:asciiTheme="majorHAnsi" w:hAnsiTheme="majorHAnsi" w:cstheme="majorHAnsi"/>
          <w:b/>
          <w:bCs/>
          <w:szCs w:val="24"/>
        </w:rPr>
        <w:t>CVs</w:t>
      </w:r>
      <w:proofErr w:type="spellEnd"/>
      <w:r w:rsidRPr="003D76C3">
        <w:rPr>
          <w:rFonts w:asciiTheme="majorHAnsi" w:hAnsiTheme="majorHAnsi" w:cstheme="majorHAnsi"/>
          <w:b/>
          <w:bCs/>
          <w:szCs w:val="24"/>
        </w:rPr>
        <w:t xml:space="preserve"> et copies de diplômes des personnes à qui sera confiée la mise en œuvre des formations :</w:t>
      </w:r>
      <w:r w:rsidRPr="003D76C3">
        <w:rPr>
          <w:rFonts w:asciiTheme="majorHAnsi" w:hAnsiTheme="majorHAnsi" w:cstheme="majorHAnsi"/>
          <w:b/>
          <w:bCs/>
          <w:i/>
          <w:iCs/>
          <w:color w:val="FF0000"/>
          <w:szCs w:val="24"/>
        </w:rPr>
        <w:t xml:space="preserve"> </w:t>
      </w:r>
      <w:r w:rsidR="007335E7">
        <w:rPr>
          <w:rFonts w:cstheme="minorHAnsi"/>
          <w:b/>
          <w:bCs/>
          <w:color w:val="FF0000"/>
        </w:rPr>
        <w:t>Obligatoire</w:t>
      </w:r>
    </w:p>
    <w:p w14:paraId="3F326B70" w14:textId="0EBFCEE0" w:rsidR="001658A4" w:rsidRPr="003D76C3" w:rsidRDefault="001658A4" w:rsidP="00ED24B6">
      <w:pPr>
        <w:pStyle w:val="Paragraphedeliste"/>
        <w:numPr>
          <w:ilvl w:val="1"/>
          <w:numId w:val="2"/>
        </w:numPr>
        <w:spacing w:after="120" w:line="240" w:lineRule="auto"/>
        <w:contextualSpacing w:val="0"/>
        <w:jc w:val="both"/>
        <w:rPr>
          <w:b/>
          <w:bCs/>
        </w:rPr>
      </w:pPr>
      <w:r w:rsidRPr="003D76C3">
        <w:rPr>
          <w:b/>
          <w:bCs/>
        </w:rPr>
        <w:t>Le formulaire de Déclaration de conformité renseigné, signé et cacheté </w:t>
      </w:r>
      <w:r w:rsidR="00166BC4">
        <w:rPr>
          <w:b/>
          <w:bCs/>
        </w:rPr>
        <w:t>(</w:t>
      </w:r>
      <w:r w:rsidR="00166BC4" w:rsidRPr="00166BC4">
        <w:rPr>
          <w:color w:val="000000" w:themeColor="text1"/>
          <w:sz w:val="20"/>
        </w:rPr>
        <w:t>ANNEXE G)</w:t>
      </w:r>
      <w:r w:rsidR="00625675">
        <w:rPr>
          <w:color w:val="000000" w:themeColor="text1"/>
          <w:sz w:val="20"/>
        </w:rPr>
        <w:t> ;</w:t>
      </w:r>
      <w:r w:rsidR="00166BC4">
        <w:rPr>
          <w:color w:val="000000" w:themeColor="text1"/>
          <w:sz w:val="20"/>
        </w:rPr>
        <w:t xml:space="preserve"> </w:t>
      </w:r>
      <w:r w:rsidR="00166BC4">
        <w:rPr>
          <w:rFonts w:cstheme="minorHAnsi"/>
          <w:b/>
          <w:bCs/>
          <w:color w:val="FF0000"/>
        </w:rPr>
        <w:t>Obligatoire</w:t>
      </w:r>
    </w:p>
    <w:p w14:paraId="1189B8CA" w14:textId="56486445" w:rsidR="00A50AA2" w:rsidRPr="003D76C3" w:rsidRDefault="00A50AA2" w:rsidP="00ED24B6">
      <w:pPr>
        <w:pStyle w:val="Paragraphedeliste"/>
        <w:numPr>
          <w:ilvl w:val="1"/>
          <w:numId w:val="2"/>
        </w:numPr>
        <w:spacing w:after="120" w:line="240" w:lineRule="auto"/>
        <w:contextualSpacing w:val="0"/>
        <w:jc w:val="both"/>
        <w:rPr>
          <w:rFonts w:cstheme="minorHAnsi"/>
          <w:b/>
          <w:bCs/>
        </w:rPr>
      </w:pPr>
      <w:r w:rsidRPr="003D76C3">
        <w:rPr>
          <w:b/>
          <w:bCs/>
        </w:rPr>
        <w:t xml:space="preserve">Le NIF, </w:t>
      </w:r>
      <w:r w:rsidR="002252CF" w:rsidRPr="003D76C3">
        <w:rPr>
          <w:b/>
          <w:bCs/>
        </w:rPr>
        <w:t>RCCM, Arrêtée</w:t>
      </w:r>
      <w:r w:rsidRPr="003D76C3">
        <w:rPr>
          <w:b/>
          <w:bCs/>
        </w:rPr>
        <w:t xml:space="preserve"> ministériel ;</w:t>
      </w:r>
      <w:r w:rsidR="00625675" w:rsidRPr="00625675">
        <w:rPr>
          <w:rFonts w:cstheme="minorHAnsi"/>
          <w:b/>
          <w:bCs/>
          <w:color w:val="FF0000"/>
        </w:rPr>
        <w:t xml:space="preserve"> </w:t>
      </w:r>
      <w:r w:rsidR="00625675">
        <w:rPr>
          <w:rFonts w:cstheme="minorHAnsi"/>
          <w:b/>
          <w:bCs/>
          <w:color w:val="FF0000"/>
        </w:rPr>
        <w:t>Obligatoire</w:t>
      </w:r>
    </w:p>
    <w:p w14:paraId="5F8BCECF" w14:textId="0E1314AA" w:rsidR="00A50AA2" w:rsidRPr="003D76C3" w:rsidRDefault="00163826" w:rsidP="00ED24B6">
      <w:pPr>
        <w:pStyle w:val="Paragraphedeliste"/>
        <w:numPr>
          <w:ilvl w:val="1"/>
          <w:numId w:val="2"/>
        </w:numPr>
        <w:spacing w:after="120" w:line="240" w:lineRule="auto"/>
        <w:contextualSpacing w:val="0"/>
        <w:jc w:val="both"/>
        <w:rPr>
          <w:b/>
          <w:bCs/>
        </w:rPr>
      </w:pPr>
      <w:r w:rsidRPr="003D76C3">
        <w:rPr>
          <w:b/>
          <w:bCs/>
        </w:rPr>
        <w:t>Les règlements intérieurs de la structure </w:t>
      </w:r>
      <w:r w:rsidR="00783E1C">
        <w:rPr>
          <w:rFonts w:cstheme="minorHAnsi"/>
          <w:b/>
          <w:bCs/>
          <w:color w:val="FF0000"/>
        </w:rPr>
        <w:t>Obligatoire</w:t>
      </w:r>
    </w:p>
    <w:p w14:paraId="2AF544A8" w14:textId="6662B277" w:rsidR="00163826" w:rsidRPr="003D76C3" w:rsidRDefault="001D7C68" w:rsidP="00ED24B6">
      <w:pPr>
        <w:pStyle w:val="Paragraphedeliste"/>
        <w:numPr>
          <w:ilvl w:val="1"/>
          <w:numId w:val="2"/>
        </w:numPr>
        <w:spacing w:after="120" w:line="240" w:lineRule="auto"/>
        <w:contextualSpacing w:val="0"/>
        <w:jc w:val="both"/>
        <w:rPr>
          <w:b/>
          <w:bCs/>
        </w:rPr>
      </w:pPr>
      <w:r w:rsidRPr="003D76C3">
        <w:rPr>
          <w:rFonts w:cstheme="minorHAnsi"/>
          <w:b/>
          <w:bCs/>
        </w:rPr>
        <w:t>Le formulaire de protection des données signés et cacheté </w:t>
      </w:r>
    </w:p>
    <w:p w14:paraId="4CBE59EB" w14:textId="11BAA5F8" w:rsidR="001D7C68" w:rsidRPr="003D76C3" w:rsidRDefault="005114A7" w:rsidP="00ED24B6">
      <w:pPr>
        <w:pStyle w:val="Paragraphedeliste"/>
        <w:numPr>
          <w:ilvl w:val="1"/>
          <w:numId w:val="2"/>
        </w:numPr>
        <w:rPr>
          <w:rFonts w:cstheme="minorHAnsi"/>
          <w:b/>
          <w:bCs/>
        </w:rPr>
      </w:pPr>
      <w:bookmarkStart w:id="1" w:name="_Hlk178327966"/>
      <w:r w:rsidRPr="003D76C3">
        <w:rPr>
          <w:rFonts w:cstheme="minorHAnsi"/>
          <w:b/>
          <w:bCs/>
        </w:rPr>
        <w:t>Références</w:t>
      </w:r>
      <w:bookmarkEnd w:id="1"/>
      <w:r w:rsidRPr="003D76C3">
        <w:rPr>
          <w:rFonts w:cstheme="minorHAnsi"/>
          <w:b/>
          <w:bCs/>
        </w:rPr>
        <w:t xml:space="preserve"> </w:t>
      </w:r>
      <w:r w:rsidR="00BC4A55">
        <w:rPr>
          <w:rFonts w:cstheme="minorHAnsi"/>
          <w:b/>
          <w:bCs/>
        </w:rPr>
        <w:t>(</w:t>
      </w:r>
      <w:r w:rsidR="00BC4A55" w:rsidRPr="00B76794">
        <w:rPr>
          <w:b/>
          <w:bCs/>
          <w:color w:val="000000" w:themeColor="text1"/>
          <w:sz w:val="20"/>
        </w:rPr>
        <w:t>ANNEXE B)</w:t>
      </w:r>
      <w:r w:rsidRPr="00B76794">
        <w:rPr>
          <w:rFonts w:cstheme="minorHAnsi"/>
          <w:b/>
          <w:bCs/>
          <w:color w:val="000000" w:themeColor="text1"/>
        </w:rPr>
        <w:t xml:space="preserve">; </w:t>
      </w:r>
      <w:r w:rsidR="00BC4A55">
        <w:rPr>
          <w:rFonts w:cstheme="minorHAnsi"/>
          <w:b/>
          <w:bCs/>
          <w:color w:val="FF0000"/>
        </w:rPr>
        <w:t>Obligatoire</w:t>
      </w:r>
    </w:p>
    <w:p w14:paraId="466490D2" w14:textId="44C82ED2" w:rsidR="0010606D" w:rsidRPr="00FC7B40" w:rsidRDefault="005114A7" w:rsidP="00ED24B6">
      <w:pPr>
        <w:pStyle w:val="Paragraphedeliste"/>
        <w:numPr>
          <w:ilvl w:val="1"/>
          <w:numId w:val="2"/>
        </w:numPr>
        <w:spacing w:after="120" w:line="240" w:lineRule="auto"/>
        <w:ind w:left="1434" w:hanging="357"/>
        <w:contextualSpacing w:val="0"/>
        <w:jc w:val="both"/>
        <w:rPr>
          <w:b/>
          <w:bCs/>
        </w:rPr>
      </w:pPr>
      <w:r w:rsidRPr="003D76C3">
        <w:rPr>
          <w:b/>
          <w:bCs/>
        </w:rPr>
        <w:t>Les</w:t>
      </w:r>
      <w:r w:rsidR="0010606D" w:rsidRPr="003D76C3">
        <w:rPr>
          <w:b/>
          <w:bCs/>
        </w:rPr>
        <w:t xml:space="preserve"> documents demandés dans l’appel à manifestation d’intérêt, chaque page devant être dûment </w:t>
      </w:r>
      <w:r w:rsidR="00CF6FBD">
        <w:rPr>
          <w:b/>
          <w:bCs/>
        </w:rPr>
        <w:t xml:space="preserve">remplie et </w:t>
      </w:r>
      <w:r w:rsidR="0010606D" w:rsidRPr="003D76C3">
        <w:rPr>
          <w:b/>
          <w:bCs/>
        </w:rPr>
        <w:t>signée par le représentant habilité du partenaire potentiel</w:t>
      </w:r>
      <w:r w:rsidR="00BA0143" w:rsidRPr="003D76C3">
        <w:rPr>
          <w:b/>
          <w:bCs/>
        </w:rPr>
        <w:t> </w:t>
      </w:r>
      <w:r w:rsidR="0010606D" w:rsidRPr="003D76C3">
        <w:rPr>
          <w:b/>
          <w:bCs/>
        </w:rPr>
        <w:t>;</w:t>
      </w:r>
      <w:r w:rsidR="00244EFC" w:rsidRPr="003D76C3">
        <w:rPr>
          <w:b/>
          <w:bCs/>
        </w:rPr>
        <w:t xml:space="preserve"> </w:t>
      </w:r>
      <w:r w:rsidR="001D37EA">
        <w:rPr>
          <w:rFonts w:cstheme="minorHAnsi"/>
          <w:b/>
          <w:bCs/>
          <w:color w:val="FF0000"/>
        </w:rPr>
        <w:t>Obligatoire</w:t>
      </w:r>
    </w:p>
    <w:p w14:paraId="68897BCA" w14:textId="691A595C" w:rsidR="00FC7B40" w:rsidRPr="003D76C3" w:rsidRDefault="00FC7B40" w:rsidP="00ED24B6">
      <w:pPr>
        <w:pStyle w:val="Paragraphedeliste"/>
        <w:numPr>
          <w:ilvl w:val="1"/>
          <w:numId w:val="2"/>
        </w:numPr>
        <w:spacing w:after="120" w:line="240" w:lineRule="auto"/>
        <w:ind w:left="1434" w:hanging="357"/>
        <w:contextualSpacing w:val="0"/>
        <w:jc w:val="both"/>
        <w:rPr>
          <w:b/>
          <w:bCs/>
        </w:rPr>
      </w:pPr>
      <w:r>
        <w:rPr>
          <w:b/>
          <w:bCs/>
        </w:rPr>
        <w:t>E</w:t>
      </w:r>
      <w:r w:rsidRPr="00FC7B40">
        <w:rPr>
          <w:b/>
          <w:bCs/>
        </w:rPr>
        <w:t>valuation PSEA partenaire</w:t>
      </w:r>
      <w:r w:rsidR="00180002" w:rsidRPr="003D76C3">
        <w:rPr>
          <w:b/>
          <w:bCs/>
        </w:rPr>
        <w:t xml:space="preserve"> ; </w:t>
      </w:r>
      <w:r w:rsidR="00180002">
        <w:rPr>
          <w:rFonts w:cstheme="minorHAnsi"/>
          <w:b/>
          <w:bCs/>
          <w:color w:val="FF0000"/>
        </w:rPr>
        <w:t>Obligatoire</w:t>
      </w:r>
    </w:p>
    <w:p w14:paraId="4213D5EB" w14:textId="5A6ED100" w:rsidR="0010606D" w:rsidRPr="003D76C3" w:rsidRDefault="009231CB" w:rsidP="00ED24B6">
      <w:pPr>
        <w:pStyle w:val="Paragraphedeliste"/>
        <w:numPr>
          <w:ilvl w:val="1"/>
          <w:numId w:val="2"/>
        </w:numPr>
        <w:spacing w:after="120" w:line="240" w:lineRule="auto"/>
        <w:contextualSpacing w:val="0"/>
        <w:jc w:val="both"/>
        <w:rPr>
          <w:rFonts w:cstheme="minorHAnsi"/>
          <w:b/>
          <w:bCs/>
        </w:rPr>
      </w:pPr>
      <w:r w:rsidRPr="003D76C3">
        <w:rPr>
          <w:b/>
          <w:bCs/>
        </w:rPr>
        <w:t>Tout</w:t>
      </w:r>
      <w:r w:rsidR="0010606D" w:rsidRPr="003D76C3">
        <w:rPr>
          <w:b/>
          <w:bCs/>
        </w:rPr>
        <w:t xml:space="preserve"> autre document pertinent.</w:t>
      </w:r>
    </w:p>
    <w:p w14:paraId="1D7D3665" w14:textId="60862336" w:rsidR="0010606D" w:rsidRPr="00146B6E" w:rsidRDefault="0010606D" w:rsidP="00ED24B6">
      <w:pPr>
        <w:pStyle w:val="Paragraphedeliste"/>
        <w:numPr>
          <w:ilvl w:val="0"/>
          <w:numId w:val="2"/>
        </w:numPr>
        <w:spacing w:after="120" w:line="240" w:lineRule="auto"/>
        <w:contextualSpacing w:val="0"/>
        <w:jc w:val="both"/>
        <w:rPr>
          <w:rFonts w:cstheme="minorHAnsi"/>
        </w:rPr>
      </w:pPr>
      <w:r>
        <w:t xml:space="preserve">Il est possible de modifier ou de retirer les candidatures par écrit, avant la date limite indiquée dans l’appel à manifestation d’intérêt. </w:t>
      </w:r>
      <w:r w:rsidR="008C1E81">
        <w:t>Passé ce délai</w:t>
      </w:r>
      <w:r>
        <w:t>, les candidatures ne pourront plus être modifiées ou retirées.</w:t>
      </w:r>
    </w:p>
    <w:p w14:paraId="34E8F298" w14:textId="1501ACF4" w:rsidR="0010606D" w:rsidRPr="00146B6E" w:rsidRDefault="0010606D" w:rsidP="00ED24B6">
      <w:pPr>
        <w:pStyle w:val="Paragraphedeliste"/>
        <w:numPr>
          <w:ilvl w:val="0"/>
          <w:numId w:val="2"/>
        </w:numPr>
        <w:spacing w:after="120" w:line="240" w:lineRule="auto"/>
        <w:contextualSpacing w:val="0"/>
        <w:jc w:val="both"/>
        <w:rPr>
          <w:rFonts w:cstheme="minorHAnsi"/>
        </w:rPr>
      </w:pPr>
      <w:r>
        <w:t xml:space="preserve">Les coûts </w:t>
      </w:r>
      <w:r w:rsidR="001845AC">
        <w:t xml:space="preserve">relatifs </w:t>
      </w:r>
      <w:r>
        <w:t xml:space="preserve">à la constitution et </w:t>
      </w:r>
      <w:r w:rsidR="001845AC">
        <w:t xml:space="preserve">à </w:t>
      </w:r>
      <w:r>
        <w:t xml:space="preserve">la soumission du dossier de candidature sont à la charge du partenaire d’exécution et l’OIM ne peut en aucun cas être tenue responsable des frais engagés. </w:t>
      </w:r>
    </w:p>
    <w:p w14:paraId="36448C94" w14:textId="5E4C032D" w:rsidR="004E77FF" w:rsidRPr="00146B6E" w:rsidRDefault="001F3B2A" w:rsidP="00ED24B6">
      <w:pPr>
        <w:pStyle w:val="Paragraphedeliste"/>
        <w:numPr>
          <w:ilvl w:val="0"/>
          <w:numId w:val="2"/>
        </w:numPr>
        <w:spacing w:after="120" w:line="240" w:lineRule="auto"/>
        <w:ind w:left="714" w:hanging="357"/>
        <w:contextualSpacing w:val="0"/>
        <w:jc w:val="both"/>
      </w:pPr>
      <w:r>
        <w:t>Aucuns frais de dossier ne seront demandés par l</w:t>
      </w:r>
      <w:r w:rsidR="2A90FC51">
        <w:t>’OIM aux candidats.</w:t>
      </w:r>
    </w:p>
    <w:p w14:paraId="78C9F322" w14:textId="225EED9A" w:rsidR="4E4583D2" w:rsidRDefault="4E4583D2" w:rsidP="00ED24B6">
      <w:pPr>
        <w:pStyle w:val="Paragraphedeliste"/>
        <w:numPr>
          <w:ilvl w:val="0"/>
          <w:numId w:val="2"/>
        </w:numPr>
        <w:spacing w:after="120" w:line="240" w:lineRule="auto"/>
        <w:ind w:left="714" w:hanging="357"/>
        <w:contextualSpacing w:val="0"/>
        <w:jc w:val="both"/>
        <w:rPr>
          <w:rFonts w:eastAsiaTheme="minorEastAsia"/>
        </w:rPr>
      </w:pPr>
      <w:r>
        <w:t xml:space="preserve">Les partenaires peuvent signaler </w:t>
      </w:r>
      <w:r w:rsidR="002E5C6B">
        <w:t xml:space="preserve">des </w:t>
      </w:r>
      <w:r>
        <w:t xml:space="preserve">cas de fraude, de corruption et </w:t>
      </w:r>
      <w:r w:rsidR="009615B9">
        <w:t xml:space="preserve">de manquement </w:t>
      </w:r>
      <w:r>
        <w:t>sur la plateforme</w:t>
      </w:r>
      <w:r w:rsidR="009615B9">
        <w:t xml:space="preserve"> Nous sommes tous concernés (</w:t>
      </w:r>
      <w:proofErr w:type="spellStart"/>
      <w:r>
        <w:fldChar w:fldCharType="begin"/>
      </w:r>
      <w:r>
        <w:instrText>HYPERLINK "https://weareallin.iom.int/fr"</w:instrText>
      </w:r>
      <w:r>
        <w:fldChar w:fldCharType="separate"/>
      </w:r>
      <w:r>
        <w:rPr>
          <w:rStyle w:val="Lienhypertexte"/>
        </w:rPr>
        <w:t>We</w:t>
      </w:r>
      <w:proofErr w:type="spellEnd"/>
      <w:r>
        <w:rPr>
          <w:rStyle w:val="Lienhypertexte"/>
        </w:rPr>
        <w:t xml:space="preserve"> Are All In</w:t>
      </w:r>
      <w:r>
        <w:fldChar w:fldCharType="end"/>
      </w:r>
      <w:r w:rsidR="009615B9">
        <w:rPr>
          <w:rStyle w:val="Lienhypertexte"/>
        </w:rPr>
        <w:t>)</w:t>
      </w:r>
      <w:r>
        <w:t xml:space="preserve"> de l’OIM.  </w:t>
      </w:r>
    </w:p>
    <w:p w14:paraId="2AD24425" w14:textId="2BDC78C3" w:rsidR="0010606D" w:rsidRDefault="2A90FC51" w:rsidP="00ED24B6">
      <w:pPr>
        <w:pStyle w:val="Paragraphedeliste"/>
        <w:numPr>
          <w:ilvl w:val="0"/>
          <w:numId w:val="2"/>
        </w:numPr>
        <w:spacing w:after="120" w:line="240" w:lineRule="auto"/>
        <w:ind w:left="714" w:hanging="357"/>
        <w:contextualSpacing w:val="0"/>
        <w:jc w:val="both"/>
      </w:pPr>
      <w:r>
        <w:t xml:space="preserve">Toute information communiquée par écrit ou oralement aux partenaires d’exécution dans le cadre de cet appel à manifestation d’intérêt doit être considérée comme confidentielle. Ceux-ci ne doivent pas partager ou évoquer ces informations avec </w:t>
      </w:r>
      <w:r w:rsidR="004341DF">
        <w:t>un tiers</w:t>
      </w:r>
      <w:r>
        <w:t xml:space="preserve"> sans l’approbation écrite</w:t>
      </w:r>
      <w:r w:rsidR="00E41414">
        <w:t xml:space="preserve"> préalable</w:t>
      </w:r>
      <w:r>
        <w:t xml:space="preserve"> de l’OIM. Cette obligation </w:t>
      </w:r>
      <w:r w:rsidR="0062075B">
        <w:t>subsiste après</w:t>
      </w:r>
      <w:r w:rsidR="008645F4">
        <w:t xml:space="preserve"> l’achèvement</w:t>
      </w:r>
      <w:r>
        <w:t xml:space="preserve"> du processus de sélection, que la candidature du partenaire d’exécution ait été retenue ou non.</w:t>
      </w:r>
    </w:p>
    <w:p w14:paraId="03ECE804" w14:textId="31E13617" w:rsidR="004A489B" w:rsidRDefault="2F750061" w:rsidP="00ED24B6">
      <w:pPr>
        <w:pStyle w:val="Paragraphedeliste"/>
        <w:numPr>
          <w:ilvl w:val="0"/>
          <w:numId w:val="2"/>
        </w:numPr>
        <w:spacing w:after="120" w:line="240" w:lineRule="auto"/>
        <w:contextualSpacing w:val="0"/>
        <w:jc w:val="both"/>
      </w:pPr>
      <w:r>
        <w:t xml:space="preserve">L’OIM traitera toutes les informations (ou les informations libellées comme exclusives, sensibles ou financières) communiquées par les partenaires d’exécution </w:t>
      </w:r>
      <w:r w:rsidR="004E77FF">
        <w:t>de manière</w:t>
      </w:r>
      <w:r>
        <w:t xml:space="preserve"> confidentielle, et les données </w:t>
      </w:r>
      <w:r w:rsidR="00EC53FC">
        <w:t xml:space="preserve">à caractère personnel </w:t>
      </w:r>
      <w:r w:rsidR="005C023A">
        <w:t>seront traitées dans le respect des</w:t>
      </w:r>
      <w:r>
        <w:t xml:space="preserve"> principes relatifs à la protection des données.</w:t>
      </w:r>
    </w:p>
    <w:p w14:paraId="282A78C8" w14:textId="27E4E9F9" w:rsidR="004A489B" w:rsidRPr="00675063" w:rsidRDefault="2F750061" w:rsidP="00ED24B6">
      <w:pPr>
        <w:pStyle w:val="Paragraphedeliste"/>
        <w:numPr>
          <w:ilvl w:val="0"/>
          <w:numId w:val="2"/>
        </w:numPr>
        <w:spacing w:after="120" w:line="240" w:lineRule="auto"/>
        <w:ind w:left="714" w:hanging="357"/>
        <w:contextualSpacing w:val="0"/>
        <w:jc w:val="both"/>
      </w:pPr>
      <w:r>
        <w:lastRenderedPageBreak/>
        <w:t>En soumettant leur candidature, les partenaires d’exécution autorisent l’OIM à partager des informations avec les personnes qui doivent en avoir connaissance aux fins d</w:t>
      </w:r>
      <w:r w:rsidR="004A24F0">
        <w:t>e l</w:t>
      </w:r>
      <w:r>
        <w:t xml:space="preserve">’évaluation </w:t>
      </w:r>
      <w:r w:rsidR="007D7D05">
        <w:t xml:space="preserve">de la proposition </w:t>
      </w:r>
      <w:r>
        <w:t>et d</w:t>
      </w:r>
      <w:r w:rsidR="004A24F0">
        <w:t>u</w:t>
      </w:r>
      <w:r>
        <w:t xml:space="preserve"> traitement du dossier.</w:t>
      </w:r>
    </w:p>
    <w:p w14:paraId="1011FA7B" w14:textId="49EDEDF8" w:rsidR="6E70FD04" w:rsidRDefault="6E70FD04" w:rsidP="00ED24B6">
      <w:pPr>
        <w:pStyle w:val="Paragraphedeliste"/>
        <w:numPr>
          <w:ilvl w:val="0"/>
          <w:numId w:val="2"/>
        </w:numPr>
        <w:spacing w:after="120" w:line="240" w:lineRule="auto"/>
        <w:ind w:left="714" w:hanging="357"/>
        <w:contextualSpacing w:val="0"/>
        <w:jc w:val="both"/>
      </w:pPr>
      <w:r>
        <w:t xml:space="preserve">En soumettant leur candidature ou </w:t>
      </w:r>
      <w:r w:rsidR="007D7D05">
        <w:t xml:space="preserve">une </w:t>
      </w:r>
      <w:r>
        <w:t xml:space="preserve">manifestation d’intérêt, les candidats </w:t>
      </w:r>
      <w:r w:rsidR="004E77FF">
        <w:t>confirment</w:t>
      </w:r>
      <w:r>
        <w:t xml:space="preserve"> </w:t>
      </w:r>
      <w:r w:rsidR="00947EB4">
        <w:t xml:space="preserve">leur adhésion </w:t>
      </w:r>
      <w:r w:rsidR="00E92E8B">
        <w:t xml:space="preserve">à la </w:t>
      </w:r>
      <w:r>
        <w:t xml:space="preserve">déclaration de conformité de l’OIM </w:t>
      </w:r>
      <w:r w:rsidR="00E92E8B">
        <w:t xml:space="preserve">reproduite dans le formulaire </w:t>
      </w:r>
      <w:r w:rsidR="0085553A">
        <w:t xml:space="preserve">prévu à cet effet </w:t>
      </w:r>
      <w:r>
        <w:t>et accusent réception de la liste des pratiques interdites (pièce jointe).</w:t>
      </w:r>
    </w:p>
    <w:p w14:paraId="1E7CB9A3" w14:textId="47CF1969" w:rsidR="00675063" w:rsidRPr="00735621" w:rsidRDefault="2A90FC51" w:rsidP="00ED24B6">
      <w:pPr>
        <w:pStyle w:val="Paragraphedeliste"/>
        <w:numPr>
          <w:ilvl w:val="0"/>
          <w:numId w:val="2"/>
        </w:numPr>
        <w:tabs>
          <w:tab w:val="left" w:pos="3393"/>
          <w:tab w:val="center" w:pos="5850"/>
        </w:tabs>
        <w:spacing w:after="120" w:line="240" w:lineRule="auto"/>
        <w:ind w:left="714" w:hanging="357"/>
        <w:contextualSpacing w:val="0"/>
        <w:jc w:val="both"/>
        <w:rPr>
          <w:rFonts w:cstheme="minorHAnsi"/>
          <w:b/>
          <w:bCs/>
        </w:rPr>
      </w:pPr>
      <w:r>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2143EE7F" w14:textId="37D1EAFD" w:rsidR="0010606D" w:rsidRPr="00675063" w:rsidRDefault="00675063" w:rsidP="0091364B">
      <w:pPr>
        <w:spacing w:after="120" w:line="240" w:lineRule="auto"/>
        <w:jc w:val="center"/>
        <w:rPr>
          <w:rFonts w:cstheme="minorHAnsi"/>
          <w:b/>
          <w:bCs/>
        </w:rPr>
      </w:pPr>
      <w:r>
        <w:br w:type="page"/>
      </w:r>
      <w:r>
        <w:rPr>
          <w:b/>
        </w:rPr>
        <w:lastRenderedPageBreak/>
        <w:t>LISTE DE V</w:t>
      </w:r>
      <w:r w:rsidR="004E77FF">
        <w:rPr>
          <w:b/>
        </w:rPr>
        <w:t>É</w:t>
      </w:r>
      <w:r>
        <w:rPr>
          <w:b/>
        </w:rPr>
        <w:t>RIFICATION DES R</w:t>
      </w:r>
      <w:r w:rsidR="004E77FF">
        <w:rPr>
          <w:b/>
        </w:rPr>
        <w:t>É</w:t>
      </w:r>
      <w:r>
        <w:rPr>
          <w:b/>
        </w:rPr>
        <w:t>F</w:t>
      </w:r>
      <w:r w:rsidR="004E77FF">
        <w:rPr>
          <w:b/>
        </w:rPr>
        <w:t>É</w:t>
      </w:r>
      <w:r>
        <w:rPr>
          <w:b/>
        </w:rPr>
        <w:t>RENCES DES PARTENAIRES D’EX</w:t>
      </w:r>
      <w:r w:rsidR="004E77FF">
        <w:rPr>
          <w:b/>
        </w:rPr>
        <w:t>É</w:t>
      </w:r>
      <w:r>
        <w:rPr>
          <w:b/>
        </w:rPr>
        <w:t>CUTION</w:t>
      </w:r>
    </w:p>
    <w:p w14:paraId="46215487" w14:textId="1BB51EA0" w:rsidR="0010606D" w:rsidRPr="00675063" w:rsidRDefault="00EC2967" w:rsidP="6277225E">
      <w:pPr>
        <w:spacing w:after="120" w:line="240" w:lineRule="auto"/>
      </w:pPr>
      <w:r>
        <w:t xml:space="preserve">Les informations ci-après doivent figurer dans la réponse à l’appel à manifestation d’intérêt publié par l’OIM. </w:t>
      </w:r>
    </w:p>
    <w:p w14:paraId="6014AB20" w14:textId="77777777" w:rsidR="00EC2967" w:rsidRPr="00675063" w:rsidRDefault="00EC2967" w:rsidP="0091364B">
      <w:pPr>
        <w:spacing w:after="120" w:line="240" w:lineRule="auto"/>
        <w:rPr>
          <w:rFonts w:cstheme="minorHAnsi"/>
        </w:rPr>
      </w:pPr>
    </w:p>
    <w:p w14:paraId="3ACD88C1" w14:textId="1FD879F6" w:rsidR="0010606D" w:rsidRPr="00675063" w:rsidRDefault="0010606D" w:rsidP="0091364B">
      <w:pPr>
        <w:spacing w:after="120" w:line="240" w:lineRule="auto"/>
        <w:rPr>
          <w:rFonts w:cstheme="minorHAnsi"/>
          <w:b/>
          <w:bCs/>
        </w:rPr>
      </w:pPr>
      <w:r>
        <w:rPr>
          <w:b/>
        </w:rPr>
        <w:t>TABLEAU</w:t>
      </w:r>
      <w:r w:rsidR="007D6B5E">
        <w:rPr>
          <w:b/>
        </w:rPr>
        <w:t> </w:t>
      </w:r>
      <w:r>
        <w:rPr>
          <w:b/>
        </w:rPr>
        <w:t xml:space="preserve">1 – </w:t>
      </w:r>
      <w:r w:rsidR="00115178">
        <w:rPr>
          <w:b/>
        </w:rPr>
        <w:t xml:space="preserve">PRINCIPALE </w:t>
      </w:r>
      <w:r>
        <w:rPr>
          <w:b/>
        </w:rPr>
        <w:t>EXP</w:t>
      </w:r>
      <w:r w:rsidR="004E77FF">
        <w:rPr>
          <w:b/>
        </w:rPr>
        <w:t>É</w:t>
      </w:r>
      <w:r>
        <w:rPr>
          <w:b/>
        </w:rPr>
        <w:t>RIENCE EN TANT QUE PARTENAIRE D’</w:t>
      </w:r>
      <w:r w:rsidR="007D6B5E">
        <w:rPr>
          <w:b/>
        </w:rPr>
        <w:t>EXÉ</w:t>
      </w:r>
      <w:r>
        <w:rPr>
          <w:b/>
        </w:rPr>
        <w:t>CUTION AU COURS DES TROIS DERNI</w:t>
      </w:r>
      <w:r w:rsidR="004E77FF">
        <w:rPr>
          <w:b/>
        </w:rPr>
        <w:t>È</w:t>
      </w:r>
      <w:r>
        <w:rPr>
          <w:b/>
        </w:rPr>
        <w:t>RES ANN</w:t>
      </w:r>
      <w:r w:rsidR="004E77FF">
        <w:rPr>
          <w:b/>
        </w:rPr>
        <w:t>É</w:t>
      </w:r>
      <w:r>
        <w:rPr>
          <w:b/>
        </w:rPr>
        <w:t>ES (format libre)</w:t>
      </w:r>
    </w:p>
    <w:p w14:paraId="7A042CFA" w14:textId="70E98F94" w:rsidR="0010606D" w:rsidRPr="00675063" w:rsidRDefault="0010606D" w:rsidP="0091364B">
      <w:pPr>
        <w:spacing w:after="120" w:line="240" w:lineRule="auto"/>
        <w:rPr>
          <w:rFonts w:cstheme="minorHAnsi"/>
        </w:rPr>
      </w:pPr>
      <w:r>
        <w:t>•</w:t>
      </w:r>
      <w:r>
        <w:tab/>
        <w:t>Début (mois/année)</w:t>
      </w:r>
    </w:p>
    <w:p w14:paraId="0D3E5CFF" w14:textId="77777777" w:rsidR="0010606D" w:rsidRPr="00675063" w:rsidRDefault="0010606D" w:rsidP="0091364B">
      <w:pPr>
        <w:spacing w:after="120" w:line="240" w:lineRule="auto"/>
        <w:rPr>
          <w:rFonts w:cstheme="minorHAnsi"/>
        </w:rPr>
      </w:pPr>
      <w:r>
        <w:t>•</w:t>
      </w:r>
      <w:r>
        <w:tab/>
        <w:t>Fin (mois/année)</w:t>
      </w:r>
    </w:p>
    <w:p w14:paraId="2C8264F3" w14:textId="3796D6CE" w:rsidR="0010606D" w:rsidRPr="00675063" w:rsidRDefault="0010606D" w:rsidP="0091364B">
      <w:pPr>
        <w:spacing w:after="120" w:line="240" w:lineRule="auto"/>
        <w:rPr>
          <w:rFonts w:cstheme="minorHAnsi"/>
        </w:rPr>
      </w:pPr>
      <w:r>
        <w:t>•</w:t>
      </w:r>
      <w:r>
        <w:tab/>
        <w:t>Donateur</w:t>
      </w:r>
      <w:r w:rsidR="007D6B5E">
        <w:t>/</w:t>
      </w:r>
      <w:r>
        <w:t>partenaire chef de file</w:t>
      </w:r>
    </w:p>
    <w:p w14:paraId="21678E9A" w14:textId="77777777" w:rsidR="0010606D" w:rsidRPr="00675063" w:rsidRDefault="0010606D" w:rsidP="0091364B">
      <w:pPr>
        <w:spacing w:after="120" w:line="240" w:lineRule="auto"/>
        <w:rPr>
          <w:rFonts w:cstheme="minorHAnsi"/>
        </w:rPr>
      </w:pPr>
      <w:r>
        <w:t>•</w:t>
      </w:r>
      <w:r>
        <w:tab/>
        <w:t>Description des projets</w:t>
      </w:r>
    </w:p>
    <w:p w14:paraId="1CD678FF" w14:textId="77777777" w:rsidR="0010606D" w:rsidRPr="00675063" w:rsidRDefault="0010606D" w:rsidP="0091364B">
      <w:pPr>
        <w:spacing w:after="120" w:line="240" w:lineRule="auto"/>
        <w:rPr>
          <w:rFonts w:cstheme="minorHAnsi"/>
        </w:rPr>
      </w:pPr>
      <w:r>
        <w:t>•</w:t>
      </w:r>
      <w:r>
        <w:tab/>
        <w:t xml:space="preserve">Montant du contrat </w:t>
      </w:r>
    </w:p>
    <w:p w14:paraId="6AEC9A50" w14:textId="6FFF4B5E" w:rsidR="0010606D" w:rsidRPr="00675063" w:rsidRDefault="0010606D" w:rsidP="0091364B">
      <w:pPr>
        <w:spacing w:after="120" w:line="240" w:lineRule="auto"/>
        <w:rPr>
          <w:rFonts w:cstheme="minorHAnsi"/>
        </w:rPr>
      </w:pPr>
      <w:r>
        <w:t>Remarques (veuillez fournir des pièces justificatives)</w:t>
      </w:r>
    </w:p>
    <w:p w14:paraId="40A55BCD" w14:textId="77777777" w:rsidR="00675063" w:rsidRPr="00675063" w:rsidRDefault="00675063" w:rsidP="0091364B">
      <w:pPr>
        <w:spacing w:after="120" w:line="240" w:lineRule="auto"/>
        <w:rPr>
          <w:rFonts w:cstheme="minorHAnsi"/>
        </w:rPr>
      </w:pPr>
    </w:p>
    <w:p w14:paraId="11E8DA70" w14:textId="58F412C5" w:rsidR="0010606D" w:rsidRPr="00675063" w:rsidRDefault="0010606D" w:rsidP="0091364B">
      <w:pPr>
        <w:spacing w:after="120" w:line="240" w:lineRule="auto"/>
        <w:rPr>
          <w:rFonts w:cstheme="minorHAnsi"/>
          <w:b/>
          <w:bCs/>
        </w:rPr>
      </w:pPr>
      <w:r>
        <w:rPr>
          <w:b/>
        </w:rPr>
        <w:t>TABLEAU</w:t>
      </w:r>
      <w:r w:rsidR="007D6B5E">
        <w:rPr>
          <w:b/>
        </w:rPr>
        <w:t> </w:t>
      </w:r>
      <w:r>
        <w:rPr>
          <w:b/>
        </w:rPr>
        <w:t>2 – EXP</w:t>
      </w:r>
      <w:r w:rsidR="004E77FF">
        <w:rPr>
          <w:b/>
        </w:rPr>
        <w:t>É</w:t>
      </w:r>
      <w:r>
        <w:rPr>
          <w:b/>
        </w:rPr>
        <w:t>RIENCE SIMILAIRE AU COURS DES TROIS DERNI</w:t>
      </w:r>
      <w:r w:rsidR="004E77FF">
        <w:rPr>
          <w:b/>
        </w:rPr>
        <w:t>È</w:t>
      </w:r>
      <w:r>
        <w:rPr>
          <w:b/>
        </w:rPr>
        <w:t>RES ANN</w:t>
      </w:r>
      <w:r w:rsidR="004E77FF">
        <w:rPr>
          <w:b/>
        </w:rPr>
        <w:t>É</w:t>
      </w:r>
      <w:r>
        <w:rPr>
          <w:b/>
        </w:rPr>
        <w:t>ES (format libre)</w:t>
      </w:r>
    </w:p>
    <w:p w14:paraId="2D10B967" w14:textId="77777777" w:rsidR="0010606D" w:rsidRPr="00675063" w:rsidRDefault="0010606D" w:rsidP="0091364B">
      <w:pPr>
        <w:spacing w:after="120" w:line="240" w:lineRule="auto"/>
        <w:rPr>
          <w:rFonts w:cstheme="minorHAnsi"/>
        </w:rPr>
      </w:pPr>
      <w:r>
        <w:t>•</w:t>
      </w:r>
      <w:r>
        <w:tab/>
        <w:t xml:space="preserve">Année </w:t>
      </w:r>
    </w:p>
    <w:p w14:paraId="75A57F87" w14:textId="569A51E9" w:rsidR="0010606D" w:rsidRPr="00675063" w:rsidRDefault="0010606D" w:rsidP="0091364B">
      <w:pPr>
        <w:spacing w:after="120" w:line="240" w:lineRule="auto"/>
        <w:rPr>
          <w:rFonts w:cstheme="minorHAnsi"/>
        </w:rPr>
      </w:pPr>
      <w:r>
        <w:t>•</w:t>
      </w:r>
      <w:r>
        <w:tab/>
        <w:t>Donateur</w:t>
      </w:r>
      <w:r w:rsidR="007D6B5E">
        <w:t>/</w:t>
      </w:r>
      <w:r>
        <w:t>partenaire chef de file</w:t>
      </w:r>
    </w:p>
    <w:p w14:paraId="691A5973" w14:textId="77777777" w:rsidR="0010606D" w:rsidRPr="00675063" w:rsidRDefault="0010606D" w:rsidP="0091364B">
      <w:pPr>
        <w:spacing w:after="120" w:line="240" w:lineRule="auto"/>
        <w:rPr>
          <w:rFonts w:cstheme="minorHAnsi"/>
        </w:rPr>
      </w:pPr>
      <w:r>
        <w:t>•</w:t>
      </w:r>
      <w:r>
        <w:tab/>
        <w:t xml:space="preserve">Description des projets </w:t>
      </w:r>
    </w:p>
    <w:p w14:paraId="32E670E9" w14:textId="77777777" w:rsidR="0010606D" w:rsidRPr="00675063" w:rsidRDefault="0010606D" w:rsidP="0091364B">
      <w:pPr>
        <w:spacing w:after="120" w:line="240" w:lineRule="auto"/>
        <w:rPr>
          <w:rFonts w:cstheme="minorHAnsi"/>
        </w:rPr>
      </w:pPr>
      <w:r>
        <w:t>•</w:t>
      </w:r>
      <w:r>
        <w:tab/>
        <w:t xml:space="preserve">Montant du contrat </w:t>
      </w:r>
    </w:p>
    <w:p w14:paraId="4D867635" w14:textId="77777777" w:rsidR="0010606D" w:rsidRPr="00675063" w:rsidRDefault="0010606D" w:rsidP="0091364B">
      <w:pPr>
        <w:spacing w:after="120" w:line="240" w:lineRule="auto"/>
        <w:rPr>
          <w:rFonts w:cstheme="minorHAnsi"/>
        </w:rPr>
      </w:pPr>
      <w:r>
        <w:t>•</w:t>
      </w:r>
      <w:r>
        <w:tab/>
        <w:t>Remarques (veuillez fournir des pièces justificatives*)</w:t>
      </w:r>
    </w:p>
    <w:p w14:paraId="351D345E" w14:textId="77777777" w:rsidR="0010606D" w:rsidRPr="00675063" w:rsidRDefault="0010606D" w:rsidP="0091364B">
      <w:pPr>
        <w:spacing w:after="120" w:line="240" w:lineRule="auto"/>
        <w:rPr>
          <w:rFonts w:cstheme="minorHAnsi"/>
        </w:rPr>
      </w:pPr>
    </w:p>
    <w:p w14:paraId="3C6EBD6F" w14:textId="193BDC52" w:rsidR="0010606D" w:rsidRPr="00675063" w:rsidRDefault="0010606D" w:rsidP="0091364B">
      <w:pPr>
        <w:spacing w:after="120" w:line="240" w:lineRule="auto"/>
        <w:rPr>
          <w:rFonts w:cstheme="minorHAnsi"/>
          <w:b/>
          <w:bCs/>
        </w:rPr>
      </w:pPr>
      <w:r>
        <w:rPr>
          <w:b/>
        </w:rPr>
        <w:t>TABLEAU</w:t>
      </w:r>
      <w:r w:rsidR="007D6B5E">
        <w:rPr>
          <w:b/>
        </w:rPr>
        <w:t> </w:t>
      </w:r>
      <w:r>
        <w:rPr>
          <w:b/>
        </w:rPr>
        <w:t>3 – LISTE DES PRINCIPAUX MEMBRES DU PERSONNEL (format libre)</w:t>
      </w:r>
    </w:p>
    <w:p w14:paraId="7F662981" w14:textId="77777777" w:rsidR="0010606D" w:rsidRPr="00675063" w:rsidRDefault="0010606D" w:rsidP="0091364B">
      <w:pPr>
        <w:spacing w:after="120" w:line="240" w:lineRule="auto"/>
        <w:rPr>
          <w:rFonts w:cstheme="minorHAnsi"/>
        </w:rPr>
      </w:pPr>
      <w:r>
        <w:t>•</w:t>
      </w:r>
      <w:r>
        <w:tab/>
        <w:t>Nom</w:t>
      </w:r>
    </w:p>
    <w:p w14:paraId="0D53466F" w14:textId="6A1D31E4" w:rsidR="0010606D" w:rsidRPr="00675063" w:rsidRDefault="0010606D" w:rsidP="0091364B">
      <w:pPr>
        <w:spacing w:after="120" w:line="240" w:lineRule="auto"/>
        <w:rPr>
          <w:rFonts w:cstheme="minorHAnsi"/>
        </w:rPr>
      </w:pPr>
      <w:r>
        <w:t>•</w:t>
      </w:r>
      <w:r>
        <w:tab/>
        <w:t xml:space="preserve">Fonction </w:t>
      </w:r>
      <w:r w:rsidR="00DE7314">
        <w:t>et qualification</w:t>
      </w:r>
      <w:r w:rsidR="00605239">
        <w:t>s</w:t>
      </w:r>
    </w:p>
    <w:p w14:paraId="4EC1BA82" w14:textId="77777777" w:rsidR="0010606D" w:rsidRPr="00675063" w:rsidRDefault="0010606D" w:rsidP="0091364B">
      <w:pPr>
        <w:spacing w:after="120" w:line="240" w:lineRule="auto"/>
        <w:rPr>
          <w:rFonts w:cstheme="minorHAnsi"/>
        </w:rPr>
      </w:pPr>
      <w:r>
        <w:t>•</w:t>
      </w:r>
      <w:r>
        <w:tab/>
        <w:t>Nombre d’années d’expérience</w:t>
      </w:r>
    </w:p>
    <w:p w14:paraId="665D5763" w14:textId="49E1F3A9" w:rsidR="0010606D" w:rsidRPr="00675063" w:rsidRDefault="0010606D" w:rsidP="0091364B">
      <w:pPr>
        <w:spacing w:after="120" w:line="240" w:lineRule="auto"/>
        <w:rPr>
          <w:rFonts w:cstheme="minorHAnsi"/>
        </w:rPr>
      </w:pPr>
      <w:r>
        <w:t xml:space="preserve">Veuillez fournir un organigramme ainsi qu’un CV détaillé des membres clés de la direction et du personnel de </w:t>
      </w:r>
      <w:r w:rsidRPr="00DE4C9D">
        <w:t>l’organisat</w:t>
      </w:r>
      <w:r>
        <w:t>ion</w:t>
      </w:r>
      <w:r w:rsidR="004E77FF">
        <w:t>.</w:t>
      </w:r>
    </w:p>
    <w:p w14:paraId="286E26F2" w14:textId="77777777" w:rsidR="00EC2967" w:rsidRPr="00675063" w:rsidRDefault="00EC2967" w:rsidP="0091364B">
      <w:pPr>
        <w:spacing w:after="120" w:line="240" w:lineRule="auto"/>
        <w:rPr>
          <w:rFonts w:cstheme="minorHAnsi"/>
        </w:rPr>
      </w:pPr>
    </w:p>
    <w:p w14:paraId="25EE5D8A" w14:textId="23341A71" w:rsidR="0010606D" w:rsidRPr="00675063" w:rsidRDefault="0010606D" w:rsidP="0091364B">
      <w:pPr>
        <w:spacing w:after="120" w:line="240" w:lineRule="auto"/>
        <w:rPr>
          <w:rFonts w:cstheme="minorHAnsi"/>
          <w:b/>
          <w:bCs/>
        </w:rPr>
      </w:pPr>
      <w:r>
        <w:rPr>
          <w:b/>
        </w:rPr>
        <w:t>TABLEAU</w:t>
      </w:r>
      <w:r w:rsidR="007D6B5E">
        <w:rPr>
          <w:b/>
        </w:rPr>
        <w:t> </w:t>
      </w:r>
      <w:r>
        <w:rPr>
          <w:b/>
        </w:rPr>
        <w:t>4 – AUTRES INFORMATION</w:t>
      </w:r>
      <w:r w:rsidR="004E77FF">
        <w:rPr>
          <w:b/>
        </w:rPr>
        <w:t>S</w:t>
      </w:r>
      <w:r>
        <w:rPr>
          <w:b/>
        </w:rPr>
        <w:t xml:space="preserve"> (format libre)</w:t>
      </w:r>
    </w:p>
    <w:p w14:paraId="2E5AF97F" w14:textId="77777777" w:rsidR="00EC2967" w:rsidRPr="00675063" w:rsidRDefault="00EC2967" w:rsidP="0091364B">
      <w:pPr>
        <w:spacing w:after="120" w:line="240" w:lineRule="auto"/>
        <w:rPr>
          <w:rFonts w:cstheme="minorHAnsi"/>
        </w:rPr>
      </w:pPr>
    </w:p>
    <w:p w14:paraId="4487322D" w14:textId="0F8E56F0" w:rsidR="0010606D" w:rsidRPr="00675063" w:rsidRDefault="0010606D" w:rsidP="0091364B">
      <w:pPr>
        <w:spacing w:after="120" w:line="240" w:lineRule="auto"/>
        <w:rPr>
          <w:rFonts w:cstheme="minorHAnsi"/>
        </w:rPr>
      </w:pPr>
      <w:r>
        <w:t>Outre les informations demandées, les partenaires d’exécution peuvent joindre tout</w:t>
      </w:r>
      <w:r w:rsidR="003B146B">
        <w:t xml:space="preserve"> autre</w:t>
      </w:r>
      <w:r>
        <w:t xml:space="preserve"> document pertinent</w:t>
      </w:r>
      <w:r w:rsidR="004E77FF">
        <w:t>.</w:t>
      </w:r>
    </w:p>
    <w:p w14:paraId="067E115C" w14:textId="77777777" w:rsidR="00EC2967" w:rsidRPr="00675063" w:rsidRDefault="00EC2967" w:rsidP="0091364B">
      <w:pPr>
        <w:spacing w:after="120" w:line="240" w:lineRule="auto"/>
        <w:rPr>
          <w:rFonts w:cstheme="minorHAnsi"/>
        </w:rPr>
      </w:pPr>
    </w:p>
    <w:p w14:paraId="17504604" w14:textId="77777777" w:rsidR="00EC2967" w:rsidRPr="00675063" w:rsidRDefault="00EC2967" w:rsidP="0091364B">
      <w:pPr>
        <w:spacing w:after="120" w:line="240" w:lineRule="auto"/>
        <w:rPr>
          <w:rFonts w:cstheme="minorHAnsi"/>
        </w:rPr>
      </w:pPr>
    </w:p>
    <w:p w14:paraId="32F99A08" w14:textId="77777777" w:rsidR="00EC2967" w:rsidRPr="00675063" w:rsidRDefault="00EC2967" w:rsidP="0091364B">
      <w:pPr>
        <w:spacing w:after="120" w:line="240" w:lineRule="auto"/>
        <w:rPr>
          <w:rFonts w:cstheme="minorHAnsi"/>
        </w:rPr>
      </w:pPr>
    </w:p>
    <w:p w14:paraId="36FFBF56" w14:textId="77777777" w:rsidR="00EC2967" w:rsidRPr="00675063" w:rsidRDefault="00EC2967" w:rsidP="0091364B">
      <w:pPr>
        <w:spacing w:after="120" w:line="240" w:lineRule="auto"/>
        <w:rPr>
          <w:rFonts w:cstheme="minorHAnsi"/>
        </w:rPr>
      </w:pPr>
    </w:p>
    <w:p w14:paraId="447E605B" w14:textId="77777777" w:rsidR="00EC2967" w:rsidRPr="00675063" w:rsidRDefault="00EC2967" w:rsidP="0091364B">
      <w:pPr>
        <w:spacing w:after="120" w:line="240" w:lineRule="auto"/>
        <w:rPr>
          <w:rFonts w:cstheme="minorHAnsi"/>
        </w:rPr>
      </w:pPr>
    </w:p>
    <w:p w14:paraId="137B55D2" w14:textId="77777777" w:rsidR="00EC2967" w:rsidRPr="00675063" w:rsidRDefault="00EC2967" w:rsidP="0091364B">
      <w:pPr>
        <w:spacing w:after="120" w:line="240" w:lineRule="auto"/>
        <w:rPr>
          <w:rFonts w:cstheme="minorHAnsi"/>
        </w:rPr>
      </w:pPr>
    </w:p>
    <w:p w14:paraId="4D84C8FF" w14:textId="77777777" w:rsidR="00EC2967" w:rsidRPr="00675063" w:rsidRDefault="00EC2967" w:rsidP="0091364B">
      <w:pPr>
        <w:spacing w:after="120" w:line="240" w:lineRule="auto"/>
        <w:rPr>
          <w:rFonts w:cstheme="minorHAnsi"/>
        </w:rPr>
      </w:pPr>
    </w:p>
    <w:p w14:paraId="2C9C0183" w14:textId="77777777" w:rsidR="00EC2967" w:rsidRPr="00675063" w:rsidRDefault="00EC2967" w:rsidP="0091364B">
      <w:pPr>
        <w:spacing w:after="120" w:line="240" w:lineRule="auto"/>
        <w:rPr>
          <w:rFonts w:cstheme="minorHAnsi"/>
        </w:rPr>
      </w:pPr>
    </w:p>
    <w:p w14:paraId="39B94D65" w14:textId="77777777" w:rsidR="00EC2967" w:rsidRPr="00675063" w:rsidRDefault="00EC2967" w:rsidP="0091364B">
      <w:pPr>
        <w:spacing w:after="120" w:line="240" w:lineRule="auto"/>
        <w:rPr>
          <w:rFonts w:cstheme="minorHAnsi"/>
        </w:rPr>
      </w:pPr>
    </w:p>
    <w:p w14:paraId="03ADA874" w14:textId="77777777" w:rsidR="00593A8F" w:rsidRPr="00675063" w:rsidRDefault="00593A8F" w:rsidP="0091364B">
      <w:pPr>
        <w:spacing w:after="120" w:line="240" w:lineRule="auto"/>
        <w:rPr>
          <w:rFonts w:cstheme="minorHAnsi"/>
          <w:b/>
          <w:bCs/>
        </w:rPr>
      </w:pPr>
      <w:r>
        <w:br w:type="page"/>
      </w:r>
    </w:p>
    <w:p w14:paraId="7B6701AB" w14:textId="17D2BEED" w:rsidR="00EC2967" w:rsidRPr="00675063" w:rsidRDefault="006E094F" w:rsidP="0091364B">
      <w:pPr>
        <w:spacing w:after="120" w:line="240" w:lineRule="auto"/>
        <w:rPr>
          <w:rFonts w:eastAsiaTheme="minorEastAsia"/>
          <w:color w:val="4472C4"/>
          <w:sz w:val="28"/>
          <w:szCs w:val="28"/>
        </w:rPr>
      </w:pPr>
      <w:r>
        <w:rPr>
          <w:color w:val="4472C4"/>
          <w:sz w:val="28"/>
        </w:rPr>
        <w:lastRenderedPageBreak/>
        <w:t xml:space="preserve">Bureau </w:t>
      </w:r>
      <w:r w:rsidR="7C7DAED6">
        <w:rPr>
          <w:color w:val="4472C4"/>
          <w:sz w:val="28"/>
        </w:rPr>
        <w:t>de l’OIM –</w:t>
      </w:r>
      <w:r w:rsidR="00BA0143">
        <w:rPr>
          <w:color w:val="4472C4"/>
          <w:sz w:val="28"/>
        </w:rPr>
        <w:t> </w:t>
      </w:r>
      <w:r w:rsidR="7C7DAED6">
        <w:rPr>
          <w:color w:val="4472C4"/>
          <w:sz w:val="28"/>
        </w:rPr>
        <w:t>(</w:t>
      </w:r>
      <w:r w:rsidR="0052245C">
        <w:rPr>
          <w:color w:val="4472C4"/>
          <w:sz w:val="28"/>
        </w:rPr>
        <w:t>nom</w:t>
      </w:r>
      <w:r w:rsidR="7C7DAED6">
        <w:rPr>
          <w:color w:val="4472C4"/>
          <w:sz w:val="28"/>
        </w:rPr>
        <w:t>)</w:t>
      </w:r>
    </w:p>
    <w:p w14:paraId="7B2547F1" w14:textId="1A14E381" w:rsidR="00EC2967" w:rsidRPr="00002F37" w:rsidRDefault="7C7DAED6" w:rsidP="00002F37">
      <w:pPr>
        <w:spacing w:after="120" w:line="240" w:lineRule="auto"/>
        <w:rPr>
          <w:color w:val="4472C4"/>
          <w:sz w:val="28"/>
        </w:rPr>
      </w:pPr>
      <w:r w:rsidRPr="00002F37">
        <w:rPr>
          <w:color w:val="4472C4"/>
          <w:sz w:val="24"/>
          <w:szCs w:val="24"/>
        </w:rPr>
        <w:t>Numéro de référence de l’appel à manifestation d’intérêt de l’OIM</w:t>
      </w:r>
      <w:r w:rsidR="00BA0143">
        <w:rPr>
          <w:color w:val="4472C4"/>
          <w:sz w:val="28"/>
        </w:rPr>
        <w:t> </w:t>
      </w:r>
      <w:r w:rsidR="00C032F6">
        <w:rPr>
          <w:color w:val="4472C4"/>
          <w:sz w:val="28"/>
        </w:rPr>
        <w:t>:</w:t>
      </w:r>
      <w:r w:rsidR="00B128A4" w:rsidRPr="00B128A4">
        <w:rPr>
          <w:rFonts w:eastAsia="Arial" w:cstheme="minorHAnsi"/>
          <w:b/>
          <w:bCs/>
        </w:rPr>
        <w:t>IP Management-0</w:t>
      </w:r>
      <w:r w:rsidR="00593F83">
        <w:rPr>
          <w:rFonts w:eastAsia="Arial" w:cstheme="minorHAnsi"/>
          <w:b/>
          <w:bCs/>
        </w:rPr>
        <w:t>8</w:t>
      </w:r>
      <w:r w:rsidR="00B128A4" w:rsidRPr="00B128A4">
        <w:rPr>
          <w:rFonts w:eastAsia="Arial" w:cstheme="minorHAnsi"/>
          <w:b/>
          <w:bCs/>
        </w:rPr>
        <w:t>/2025-No.</w:t>
      </w:r>
      <w:r w:rsidR="00B128A4" w:rsidRPr="00B128A4">
        <w:rPr>
          <w:rFonts w:eastAsia="Arial" w:cstheme="minorHAnsi"/>
          <w:b/>
          <w:bCs/>
          <w:color w:val="FF0000"/>
        </w:rPr>
        <w:t>002</w:t>
      </w:r>
    </w:p>
    <w:p w14:paraId="25BD16E5" w14:textId="797D54DA" w:rsidR="00EC2967" w:rsidRPr="00675063" w:rsidRDefault="7C7DAED6" w:rsidP="0091364B">
      <w:pPr>
        <w:spacing w:after="120" w:line="240" w:lineRule="auto"/>
        <w:jc w:val="center"/>
        <w:rPr>
          <w:rFonts w:eastAsiaTheme="minorEastAsia"/>
          <w:b/>
          <w:bCs/>
          <w:sz w:val="28"/>
          <w:szCs w:val="28"/>
        </w:rPr>
      </w:pPr>
      <w:r>
        <w:rPr>
          <w:b/>
          <w:sz w:val="28"/>
        </w:rPr>
        <w:t>Mandat</w:t>
      </w:r>
    </w:p>
    <w:p w14:paraId="79429F07" w14:textId="2360BA69" w:rsidR="00EC2967" w:rsidRPr="00675063" w:rsidRDefault="7C7DAED6" w:rsidP="0091364B">
      <w:pPr>
        <w:spacing w:after="120" w:line="240" w:lineRule="auto"/>
        <w:jc w:val="center"/>
        <w:rPr>
          <w:rFonts w:eastAsiaTheme="minorEastAsia"/>
          <w:b/>
          <w:bCs/>
        </w:rPr>
      </w:pPr>
      <w:r>
        <w:rPr>
          <w:b/>
        </w:rPr>
        <w:t xml:space="preserve"> </w:t>
      </w:r>
    </w:p>
    <w:tbl>
      <w:tblPr>
        <w:tblStyle w:val="Grilledutableau"/>
        <w:tblW w:w="0" w:type="auto"/>
        <w:jc w:val="center"/>
        <w:tblLayout w:type="fixed"/>
        <w:tblLook w:val="04A0" w:firstRow="1" w:lastRow="0" w:firstColumn="1" w:lastColumn="0" w:noHBand="0" w:noVBand="1"/>
      </w:tblPr>
      <w:tblGrid>
        <w:gridCol w:w="9015"/>
      </w:tblGrid>
      <w:tr w:rsidR="085D548D" w14:paraId="50732B0D"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0DFDEC26" w14:textId="643A0821" w:rsidR="085D548D" w:rsidRDefault="085D548D" w:rsidP="0091364B">
            <w:pPr>
              <w:spacing w:after="120"/>
              <w:rPr>
                <w:rFonts w:eastAsiaTheme="minorEastAsia"/>
              </w:rPr>
            </w:pPr>
            <w:r>
              <w:t>Introduction</w:t>
            </w:r>
          </w:p>
        </w:tc>
      </w:tr>
      <w:tr w:rsidR="085D548D" w14:paraId="1E15A223" w14:textId="77777777" w:rsidTr="085D548D">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30C052E0" w14:textId="7E491020" w:rsidR="085D548D" w:rsidRPr="00002F37" w:rsidRDefault="00085D99" w:rsidP="00002F37">
            <w:pPr>
              <w:spacing w:before="240" w:line="276" w:lineRule="auto"/>
              <w:contextualSpacing/>
              <w:jc w:val="both"/>
              <w:rPr>
                <w:rFonts w:ascii="Calibri" w:eastAsia="Calibri" w:hAnsi="Calibri"/>
                <w:sz w:val="24"/>
              </w:rPr>
            </w:pPr>
            <w:r w:rsidRPr="00C87C3B">
              <w:rPr>
                <w:rFonts w:ascii="Calibri" w:eastAsia="Calibri" w:hAnsi="Calibri"/>
                <w:sz w:val="24"/>
              </w:rPr>
              <w:t xml:space="preserve">L’Organisation internationale pour les migrations (OIM) a été créée en 1951 pour promouvoir des migrations ordonnées et respectueuses de la dignité humaine dans l’intérêt de tous. Elle est l’organisation intergouvernementale chef de </w:t>
            </w:r>
            <w:r>
              <w:rPr>
                <w:rFonts w:ascii="Calibri" w:eastAsia="Calibri" w:hAnsi="Calibri"/>
                <w:sz w:val="24"/>
              </w:rPr>
              <w:t xml:space="preserve">file </w:t>
            </w:r>
            <w:r w:rsidRPr="00C87C3B">
              <w:rPr>
                <w:rFonts w:ascii="Calibri" w:eastAsia="Calibri" w:hAnsi="Calibri"/>
                <w:sz w:val="24"/>
              </w:rPr>
              <w:t xml:space="preserve">dans le domaine de la migration et collabore étroitement avec des partenaires gouvernementaux, intergouvernementaux et non gouvernementaux. Composée de 172 États Membres et de 8 États observateurs, elle a des bureaux dans plus de 100 pays dont le Niger où </w:t>
            </w:r>
            <w:r>
              <w:rPr>
                <w:rFonts w:ascii="Calibri" w:eastAsia="Calibri" w:hAnsi="Calibri"/>
                <w:sz w:val="24"/>
              </w:rPr>
              <w:t>l’OIM</w:t>
            </w:r>
            <w:r w:rsidRPr="00C87C3B">
              <w:rPr>
                <w:rFonts w:ascii="Calibri" w:eastAsia="Calibri" w:hAnsi="Calibri"/>
                <w:sz w:val="24"/>
              </w:rPr>
              <w:t xml:space="preserve"> s’emploie à fournir des services et des conseils au gouvernement et aux migrants.</w:t>
            </w:r>
          </w:p>
        </w:tc>
      </w:tr>
      <w:tr w:rsidR="085D548D" w14:paraId="2F29DCC3"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3389C3E2" w14:textId="28911549" w:rsidR="085D548D" w:rsidRDefault="085D548D" w:rsidP="0091364B">
            <w:pPr>
              <w:spacing w:after="120"/>
              <w:rPr>
                <w:rFonts w:eastAsiaTheme="minorEastAsia"/>
              </w:rPr>
            </w:pPr>
            <w:r>
              <w:t>Contexte</w:t>
            </w:r>
          </w:p>
        </w:tc>
      </w:tr>
      <w:tr w:rsidR="00737FE1" w14:paraId="7BB18195" w14:textId="77777777" w:rsidTr="085D548D">
        <w:trPr>
          <w:trHeight w:val="495"/>
          <w:jc w:val="center"/>
        </w:trPr>
        <w:tc>
          <w:tcPr>
            <w:tcW w:w="9015" w:type="dxa"/>
            <w:tcBorders>
              <w:top w:val="single" w:sz="8" w:space="0" w:color="auto"/>
              <w:left w:val="single" w:sz="8" w:space="0" w:color="auto"/>
              <w:bottom w:val="single" w:sz="8" w:space="0" w:color="auto"/>
              <w:right w:val="single" w:sz="8" w:space="0" w:color="auto"/>
            </w:tcBorders>
          </w:tcPr>
          <w:p w14:paraId="17B5494A" w14:textId="065EF4B3" w:rsidR="00F14F60" w:rsidRDefault="00F14F60" w:rsidP="00002F37">
            <w:pPr>
              <w:spacing w:line="276" w:lineRule="auto"/>
              <w:contextualSpacing/>
              <w:jc w:val="both"/>
              <w:rPr>
                <w:rFonts w:ascii="Calibri" w:eastAsia="Calibri" w:hAnsi="Calibri"/>
                <w:sz w:val="24"/>
              </w:rPr>
            </w:pPr>
            <w:r w:rsidRPr="00C87C3B">
              <w:rPr>
                <w:rFonts w:ascii="Calibri" w:eastAsia="Calibri" w:hAnsi="Calibri"/>
                <w:sz w:val="24"/>
              </w:rPr>
              <w:t xml:space="preserve">Le retour et la réintégration des migrants qui ne veulent ou ne peuvent pas rester dans un pays d’accueil ou de transit suscitent un regain d’intérêt parmi les décideurs nationaux et internationaux du monde entier. Un nombre croissant de personnes migrent dans le cadre de mouvements mixtes de plus en plus complexes, et se trouvent souvent bloquées ou en situation irrégulière pendant des périodes prolongées. </w:t>
            </w:r>
          </w:p>
          <w:p w14:paraId="656F342C" w14:textId="58FDD0B8" w:rsidR="00F14F60" w:rsidRPr="00002F37" w:rsidRDefault="00F14F60" w:rsidP="00F14F60">
            <w:pPr>
              <w:spacing w:line="276" w:lineRule="auto"/>
              <w:contextualSpacing/>
              <w:jc w:val="both"/>
              <w:rPr>
                <w:rFonts w:ascii="Calibri" w:hAnsi="Calibri"/>
                <w:sz w:val="24"/>
                <w:lang w:eastAsia="fr-FR"/>
              </w:rPr>
            </w:pPr>
            <w:r w:rsidRPr="00C87C3B">
              <w:rPr>
                <w:rFonts w:ascii="Calibri" w:eastAsia="Calibri" w:hAnsi="Calibri"/>
                <w:sz w:val="24"/>
              </w:rPr>
              <w:t xml:space="preserve">En ce qui concerne l’appui </w:t>
            </w:r>
            <w:r>
              <w:rPr>
                <w:rFonts w:ascii="Calibri" w:eastAsia="Calibri" w:hAnsi="Calibri"/>
                <w:sz w:val="24"/>
              </w:rPr>
              <w:t>à</w:t>
            </w:r>
            <w:r w:rsidRPr="00C87C3B">
              <w:rPr>
                <w:rFonts w:ascii="Calibri" w:eastAsia="Calibri" w:hAnsi="Calibri"/>
                <w:sz w:val="24"/>
              </w:rPr>
              <w:t xml:space="preserve"> la réinsertion des migrants de retour, l’OIM Niger met en œuvre </w:t>
            </w:r>
            <w:r>
              <w:rPr>
                <w:rFonts w:ascii="Calibri" w:eastAsia="Calibri" w:hAnsi="Calibri"/>
                <w:sz w:val="24"/>
              </w:rPr>
              <w:t>depuis 2022 un</w:t>
            </w:r>
            <w:r w:rsidRPr="00C87C3B">
              <w:rPr>
                <w:rFonts w:ascii="Calibri" w:eastAsia="Calibri" w:hAnsi="Calibri"/>
                <w:sz w:val="24"/>
              </w:rPr>
              <w:t xml:space="preserve"> programme </w:t>
            </w:r>
            <w:r>
              <w:rPr>
                <w:rFonts w:ascii="Calibri" w:eastAsia="Calibri" w:hAnsi="Calibri"/>
                <w:sz w:val="24"/>
              </w:rPr>
              <w:t xml:space="preserve">de protection et </w:t>
            </w:r>
            <w:r w:rsidRPr="00C87C3B">
              <w:rPr>
                <w:rFonts w:ascii="Calibri" w:eastAsia="Calibri" w:hAnsi="Calibri"/>
                <w:sz w:val="24"/>
              </w:rPr>
              <w:t>aide au retour volontaire et à la réintégration (</w:t>
            </w:r>
            <w:r>
              <w:rPr>
                <w:rFonts w:ascii="Calibri" w:eastAsia="Calibri" w:hAnsi="Calibri"/>
                <w:sz w:val="24"/>
              </w:rPr>
              <w:t>MPRR-Migrants Protection Return and Reintegration</w:t>
            </w:r>
            <w:r w:rsidRPr="00C87C3B">
              <w:rPr>
                <w:rFonts w:ascii="Calibri" w:eastAsia="Calibri" w:hAnsi="Calibri"/>
                <w:sz w:val="24"/>
              </w:rPr>
              <w:t>) des migrant</w:t>
            </w:r>
            <w:r>
              <w:rPr>
                <w:rFonts w:ascii="Calibri" w:eastAsia="Calibri" w:hAnsi="Calibri"/>
                <w:sz w:val="24"/>
              </w:rPr>
              <w:t>s</w:t>
            </w:r>
            <w:r w:rsidRPr="00C87C3B">
              <w:rPr>
                <w:rFonts w:ascii="Calibri" w:eastAsia="Calibri" w:hAnsi="Calibri"/>
                <w:sz w:val="24"/>
              </w:rPr>
              <w:t xml:space="preserve"> de retour qui, </w:t>
            </w:r>
            <w:r>
              <w:rPr>
                <w:rFonts w:ascii="Calibri" w:eastAsia="Calibri" w:hAnsi="Calibri"/>
                <w:sz w:val="24"/>
              </w:rPr>
              <w:t>a pour objectif</w:t>
            </w:r>
            <w:r w:rsidRPr="00C87C3B">
              <w:rPr>
                <w:rFonts w:ascii="Calibri" w:eastAsia="Calibri" w:hAnsi="Calibri"/>
                <w:sz w:val="24"/>
              </w:rPr>
              <w:t xml:space="preserve"> </w:t>
            </w:r>
            <w:r>
              <w:rPr>
                <w:rFonts w:ascii="Calibri" w:eastAsia="Calibri" w:hAnsi="Calibri"/>
                <w:sz w:val="24"/>
              </w:rPr>
              <w:t xml:space="preserve">entre autres </w:t>
            </w:r>
            <w:r w:rsidRPr="00C87C3B">
              <w:rPr>
                <w:rFonts w:ascii="Calibri" w:eastAsia="Calibri" w:hAnsi="Calibri"/>
                <w:sz w:val="24"/>
              </w:rPr>
              <w:t>d’assurer un retour et une réintégration des migrants nigériens en situation de vulnérabilité dans le respect de l</w:t>
            </w:r>
            <w:r>
              <w:rPr>
                <w:rFonts w:ascii="Calibri" w:eastAsia="Calibri" w:hAnsi="Calibri"/>
                <w:sz w:val="24"/>
              </w:rPr>
              <w:t>eur</w:t>
            </w:r>
            <w:r w:rsidRPr="00C87C3B">
              <w:rPr>
                <w:rFonts w:ascii="Calibri" w:eastAsia="Calibri" w:hAnsi="Calibri"/>
                <w:sz w:val="24"/>
              </w:rPr>
              <w:t xml:space="preserve"> dignité humaine. Et, </w:t>
            </w:r>
            <w:r>
              <w:rPr>
                <w:rFonts w:ascii="Calibri" w:eastAsia="Calibri" w:hAnsi="Calibri"/>
                <w:sz w:val="24"/>
              </w:rPr>
              <w:t>afin d’</w:t>
            </w:r>
            <w:r w:rsidRPr="00C87C3B">
              <w:rPr>
                <w:rFonts w:ascii="Calibri" w:eastAsia="Calibri" w:hAnsi="Calibri"/>
                <w:sz w:val="24"/>
              </w:rPr>
              <w:t xml:space="preserve">y parvenir, </w:t>
            </w:r>
            <w:r>
              <w:rPr>
                <w:rFonts w:ascii="Calibri" w:eastAsia="Calibri" w:hAnsi="Calibri"/>
                <w:sz w:val="24"/>
              </w:rPr>
              <w:t>l’OIM Niger</w:t>
            </w:r>
            <w:r w:rsidRPr="00C87C3B">
              <w:rPr>
                <w:rFonts w:ascii="Calibri" w:eastAsia="Calibri" w:hAnsi="Calibri"/>
                <w:sz w:val="24"/>
              </w:rPr>
              <w:t xml:space="preserve"> s’appuie sur une multitude de partenaires aussi bien gouvernementaux que non-gouvernementaux afin d’entreprendre </w:t>
            </w:r>
            <w:r w:rsidRPr="00C87C3B">
              <w:rPr>
                <w:rFonts w:ascii="Calibri" w:hAnsi="Calibri"/>
                <w:sz w:val="24"/>
                <w:lang w:eastAsia="fr-FR"/>
              </w:rPr>
              <w:t>plusieurs actions dans le cadre de l’accompagnement des retournées dans leurs processus de réintégration, notamment : l’écoute</w:t>
            </w:r>
            <w:r>
              <w:rPr>
                <w:rFonts w:ascii="Calibri" w:hAnsi="Calibri"/>
                <w:sz w:val="24"/>
                <w:lang w:eastAsia="fr-FR"/>
              </w:rPr>
              <w:t xml:space="preserve"> et la fourniture de</w:t>
            </w:r>
            <w:r w:rsidRPr="00C87C3B">
              <w:rPr>
                <w:rFonts w:ascii="Calibri" w:hAnsi="Calibri"/>
                <w:sz w:val="24"/>
                <w:lang w:eastAsia="fr-FR"/>
              </w:rPr>
              <w:t xml:space="preserve"> </w:t>
            </w:r>
            <w:r>
              <w:rPr>
                <w:rFonts w:ascii="Calibri" w:hAnsi="Calibri"/>
                <w:sz w:val="24"/>
                <w:lang w:eastAsia="fr-FR"/>
              </w:rPr>
              <w:t xml:space="preserve">diverses </w:t>
            </w:r>
            <w:r w:rsidRPr="00C87C3B">
              <w:rPr>
                <w:rFonts w:ascii="Calibri" w:hAnsi="Calibri"/>
                <w:sz w:val="24"/>
                <w:lang w:eastAsia="fr-FR"/>
              </w:rPr>
              <w:t>assistance</w:t>
            </w:r>
            <w:r>
              <w:rPr>
                <w:rFonts w:ascii="Calibri" w:hAnsi="Calibri"/>
                <w:sz w:val="24"/>
                <w:lang w:eastAsia="fr-FR"/>
              </w:rPr>
              <w:t>s</w:t>
            </w:r>
            <w:r w:rsidRPr="00C87C3B">
              <w:rPr>
                <w:rFonts w:ascii="Calibri" w:hAnsi="Calibri"/>
                <w:sz w:val="24"/>
                <w:lang w:eastAsia="fr-FR"/>
              </w:rPr>
              <w:t xml:space="preserve"> pour leur réintégration durable.</w:t>
            </w:r>
          </w:p>
          <w:p w14:paraId="7631573E" w14:textId="77777777" w:rsidR="00F14F60" w:rsidRPr="00536169" w:rsidRDefault="00F14F60" w:rsidP="00F14F60">
            <w:pPr>
              <w:jc w:val="both"/>
              <w:rPr>
                <w:rFonts w:ascii="Calibri" w:hAnsi="Calibri"/>
                <w:sz w:val="24"/>
                <w:lang w:eastAsia="fr-FR"/>
              </w:rPr>
            </w:pPr>
            <w:r w:rsidRPr="00B104B0">
              <w:rPr>
                <w:rFonts w:ascii="Calibri" w:eastAsia="Calibri" w:hAnsi="Calibri"/>
                <w:sz w:val="24"/>
              </w:rPr>
              <w:t>C’est dans le cadre d</w:t>
            </w:r>
            <w:r>
              <w:rPr>
                <w:rFonts w:ascii="Calibri" w:eastAsia="Calibri" w:hAnsi="Calibri"/>
                <w:sz w:val="24"/>
              </w:rPr>
              <w:t xml:space="preserve">e l’appui et le suivi psycho-sociale </w:t>
            </w:r>
            <w:r w:rsidRPr="00B104B0">
              <w:rPr>
                <w:rFonts w:ascii="Calibri" w:eastAsia="Calibri" w:hAnsi="Calibri"/>
                <w:sz w:val="24"/>
              </w:rPr>
              <w:t>des migrants Nigériens de retour que l’OIM</w:t>
            </w:r>
            <w:r>
              <w:rPr>
                <w:rFonts w:ascii="Calibri" w:eastAsia="Calibri" w:hAnsi="Calibri"/>
                <w:sz w:val="24"/>
              </w:rPr>
              <w:t xml:space="preserve"> Niger</w:t>
            </w:r>
            <w:r w:rsidRPr="00B104B0">
              <w:rPr>
                <w:rFonts w:ascii="Calibri" w:eastAsia="Calibri" w:hAnsi="Calibri"/>
                <w:sz w:val="24"/>
              </w:rPr>
              <w:t xml:space="preserve"> souhaite</w:t>
            </w:r>
            <w:r>
              <w:rPr>
                <w:rFonts w:ascii="Calibri" w:eastAsia="Calibri" w:hAnsi="Calibri"/>
                <w:sz w:val="24"/>
              </w:rPr>
              <w:t xml:space="preserve"> </w:t>
            </w:r>
            <w:r w:rsidRPr="00B104B0">
              <w:rPr>
                <w:rFonts w:ascii="Calibri" w:eastAsia="Calibri" w:hAnsi="Calibri"/>
                <w:sz w:val="24"/>
              </w:rPr>
              <w:t xml:space="preserve">nouer un partenariat </w:t>
            </w:r>
            <w:r>
              <w:rPr>
                <w:rFonts w:ascii="Calibri" w:eastAsia="Calibri" w:hAnsi="Calibri"/>
                <w:sz w:val="24"/>
              </w:rPr>
              <w:t xml:space="preserve">au niveau national pour la fourniture d’un accompagnement psycho-sociale adéquat à l’endroit des migrants de retours dans le cadre du projet MPRR. </w:t>
            </w:r>
          </w:p>
          <w:p w14:paraId="5A2EB596" w14:textId="0BE15199" w:rsidR="00737FE1" w:rsidRDefault="00737FE1" w:rsidP="00737FE1">
            <w:pPr>
              <w:spacing w:after="120"/>
              <w:rPr>
                <w:rFonts w:eastAsiaTheme="minorEastAsia"/>
                <w:color w:val="4472C4"/>
              </w:rPr>
            </w:pPr>
          </w:p>
        </w:tc>
      </w:tr>
      <w:tr w:rsidR="00737FE1" w14:paraId="794CB35B"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5ED75E5C" w14:textId="4D47820D" w:rsidR="00737FE1" w:rsidRDefault="00737FE1" w:rsidP="00737FE1">
            <w:pPr>
              <w:spacing w:after="120"/>
              <w:rPr>
                <w:rFonts w:eastAsiaTheme="minorEastAsia"/>
              </w:rPr>
            </w:pPr>
            <w:r>
              <w:t>Objectif</w:t>
            </w:r>
          </w:p>
        </w:tc>
      </w:tr>
      <w:tr w:rsidR="00FE14D2" w14:paraId="70754DE5" w14:textId="77777777" w:rsidTr="085D548D">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3F382449" w14:textId="6EA28E7C" w:rsidR="009A4085" w:rsidRPr="00AC7C85" w:rsidRDefault="009A4085" w:rsidP="009A4085">
            <w:pPr>
              <w:spacing w:after="120" w:line="276" w:lineRule="auto"/>
              <w:contextualSpacing/>
              <w:jc w:val="both"/>
              <w:rPr>
                <w:rFonts w:ascii="Calibri" w:eastAsia="Calibri" w:hAnsi="Calibri"/>
                <w:sz w:val="24"/>
              </w:rPr>
            </w:pPr>
            <w:r w:rsidRPr="00AC7C85">
              <w:rPr>
                <w:rFonts w:ascii="Calibri" w:eastAsia="Calibri" w:hAnsi="Calibri"/>
                <w:bCs/>
                <w:sz w:val="24"/>
              </w:rPr>
              <w:t xml:space="preserve">Le principal objectif de ce partenariat sera de </w:t>
            </w:r>
            <w:r>
              <w:rPr>
                <w:rFonts w:ascii="Calibri" w:eastAsia="Calibri" w:hAnsi="Calibri"/>
                <w:bCs/>
                <w:sz w:val="24"/>
              </w:rPr>
              <w:t>fournir un accompagnement et un suivi psycho-social des migrants</w:t>
            </w:r>
            <w:r w:rsidR="00946C5E">
              <w:rPr>
                <w:rFonts w:ascii="Calibri" w:eastAsia="Calibri" w:hAnsi="Calibri"/>
                <w:bCs/>
                <w:sz w:val="24"/>
              </w:rPr>
              <w:t xml:space="preserve"> nigériens</w:t>
            </w:r>
            <w:r>
              <w:rPr>
                <w:rFonts w:ascii="Calibri" w:eastAsia="Calibri" w:hAnsi="Calibri"/>
                <w:bCs/>
                <w:sz w:val="24"/>
              </w:rPr>
              <w:t xml:space="preserve"> </w:t>
            </w:r>
            <w:r w:rsidRPr="00AC7C85">
              <w:rPr>
                <w:rFonts w:ascii="Calibri" w:eastAsia="Calibri" w:hAnsi="Calibri"/>
                <w:bCs/>
                <w:sz w:val="24"/>
              </w:rPr>
              <w:t>vulnérables bénéficiaires du programme AVRR</w:t>
            </w:r>
            <w:r>
              <w:rPr>
                <w:rFonts w:ascii="Calibri" w:eastAsia="Calibri" w:hAnsi="Calibri"/>
                <w:bCs/>
                <w:sz w:val="24"/>
              </w:rPr>
              <w:t xml:space="preserve"> (</w:t>
            </w:r>
            <w:proofErr w:type="spellStart"/>
            <w:r>
              <w:rPr>
                <w:rFonts w:ascii="Calibri" w:eastAsia="Calibri" w:hAnsi="Calibri"/>
                <w:bCs/>
                <w:sz w:val="24"/>
              </w:rPr>
              <w:t>Assisted</w:t>
            </w:r>
            <w:proofErr w:type="spellEnd"/>
            <w:r>
              <w:rPr>
                <w:rFonts w:ascii="Calibri" w:eastAsia="Calibri" w:hAnsi="Calibri"/>
                <w:bCs/>
                <w:sz w:val="24"/>
              </w:rPr>
              <w:t xml:space="preserve"> </w:t>
            </w:r>
            <w:proofErr w:type="spellStart"/>
            <w:r>
              <w:rPr>
                <w:rFonts w:ascii="Calibri" w:eastAsia="Calibri" w:hAnsi="Calibri"/>
                <w:bCs/>
                <w:sz w:val="24"/>
              </w:rPr>
              <w:t>Voluntary</w:t>
            </w:r>
            <w:proofErr w:type="spellEnd"/>
            <w:r>
              <w:rPr>
                <w:rFonts w:ascii="Calibri" w:eastAsia="Calibri" w:hAnsi="Calibri"/>
                <w:bCs/>
                <w:sz w:val="24"/>
              </w:rPr>
              <w:t xml:space="preserve"> Return and Reintegration)</w:t>
            </w:r>
            <w:r w:rsidRPr="00AC7C85">
              <w:rPr>
                <w:rFonts w:ascii="Calibri" w:eastAsia="Calibri" w:hAnsi="Calibri"/>
                <w:bCs/>
                <w:sz w:val="24"/>
              </w:rPr>
              <w:t xml:space="preserve"> de l’OIM et retournés dans les différentes régions du Niger que sont :</w:t>
            </w:r>
            <w:r w:rsidRPr="00AC7C85">
              <w:rPr>
                <w:rFonts w:ascii="Calibri" w:eastAsia="Calibri" w:hAnsi="Calibri"/>
                <w:sz w:val="24"/>
              </w:rPr>
              <w:t xml:space="preserve"> Niamey, Tahoua, Tillabéry, Agadez, Diffa, Maradi, Dosso et Zinder</w:t>
            </w:r>
            <w:r w:rsidRPr="00AC7C85">
              <w:rPr>
                <w:rFonts w:ascii="Calibri" w:eastAsia="Calibri" w:hAnsi="Calibri"/>
                <w:bCs/>
                <w:sz w:val="24"/>
              </w:rPr>
              <w:t>.</w:t>
            </w:r>
            <w:r w:rsidRPr="00AC7C85">
              <w:rPr>
                <w:rFonts w:ascii="Calibri" w:eastAsia="Calibri" w:hAnsi="Calibri"/>
                <w:sz w:val="24"/>
              </w:rPr>
              <w:t xml:space="preserve"> </w:t>
            </w:r>
          </w:p>
          <w:p w14:paraId="47E34DC5" w14:textId="67D4DEA8" w:rsidR="00FE14D2" w:rsidRDefault="009A4085" w:rsidP="009A4085">
            <w:pPr>
              <w:spacing w:after="120"/>
              <w:rPr>
                <w:rFonts w:eastAsiaTheme="minorEastAsia"/>
              </w:rPr>
            </w:pPr>
            <w:r w:rsidRPr="00AC7C85">
              <w:rPr>
                <w:rFonts w:ascii="Calibri" w:eastAsia="Calibri" w:hAnsi="Calibri"/>
                <w:sz w:val="24"/>
              </w:rPr>
              <w:t>Ce</w:t>
            </w:r>
            <w:r>
              <w:rPr>
                <w:rFonts w:ascii="Calibri" w:eastAsia="Calibri" w:hAnsi="Calibri"/>
                <w:sz w:val="24"/>
              </w:rPr>
              <w:t xml:space="preserve">t accompagnement et suivi psycho-social </w:t>
            </w:r>
            <w:r w:rsidRPr="00AC7C85">
              <w:rPr>
                <w:rFonts w:ascii="Calibri" w:eastAsia="Calibri" w:hAnsi="Calibri"/>
                <w:sz w:val="24"/>
              </w:rPr>
              <w:t>devr</w:t>
            </w:r>
            <w:r>
              <w:rPr>
                <w:rFonts w:ascii="Calibri" w:eastAsia="Calibri" w:hAnsi="Calibri"/>
                <w:sz w:val="24"/>
              </w:rPr>
              <w:t>a</w:t>
            </w:r>
            <w:r w:rsidRPr="00AC7C85">
              <w:rPr>
                <w:rFonts w:ascii="Calibri" w:eastAsia="Calibri" w:hAnsi="Calibri"/>
                <w:sz w:val="24"/>
              </w:rPr>
              <w:t xml:space="preserve"> être adaptés au contexte de retours des bénéficiaires</w:t>
            </w:r>
            <w:r>
              <w:rPr>
                <w:rFonts w:ascii="Calibri" w:eastAsia="Calibri" w:hAnsi="Calibri"/>
                <w:sz w:val="24"/>
              </w:rPr>
              <w:t xml:space="preserve"> et au niveau de détresse</w:t>
            </w:r>
            <w:r w:rsidRPr="00AC7C85">
              <w:rPr>
                <w:rFonts w:ascii="Calibri" w:eastAsia="Calibri" w:hAnsi="Calibri"/>
                <w:sz w:val="24"/>
              </w:rPr>
              <w:t xml:space="preserve"> </w:t>
            </w:r>
            <w:r>
              <w:rPr>
                <w:rFonts w:ascii="Calibri" w:eastAsia="Calibri" w:hAnsi="Calibri"/>
                <w:sz w:val="24"/>
              </w:rPr>
              <w:t>psychologique</w:t>
            </w:r>
            <w:r w:rsidRPr="00AC7C85">
              <w:rPr>
                <w:rFonts w:ascii="Calibri" w:eastAsia="Calibri" w:hAnsi="Calibri"/>
                <w:sz w:val="24"/>
              </w:rPr>
              <w:t xml:space="preserve"> de chaque migrant de retours</w:t>
            </w:r>
            <w:r>
              <w:rPr>
                <w:rFonts w:ascii="Calibri" w:eastAsia="Calibri" w:hAnsi="Calibri"/>
                <w:sz w:val="24"/>
              </w:rPr>
              <w:t xml:space="preserve"> assisté</w:t>
            </w:r>
          </w:p>
        </w:tc>
      </w:tr>
      <w:tr w:rsidR="00FE14D2" w14:paraId="09AAE602"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350BBF70" w14:textId="2D011534" w:rsidR="00FE14D2" w:rsidRDefault="00FE14D2" w:rsidP="00FE14D2">
            <w:pPr>
              <w:spacing w:after="120"/>
              <w:rPr>
                <w:rFonts w:eastAsiaTheme="minorEastAsia"/>
              </w:rPr>
            </w:pPr>
            <w:r>
              <w:lastRenderedPageBreak/>
              <w:t>Interventions proposées</w:t>
            </w:r>
          </w:p>
        </w:tc>
      </w:tr>
      <w:tr w:rsidR="00A65006" w14:paraId="15F28BD9" w14:textId="77777777" w:rsidTr="085D548D">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7A4F5CFF" w14:textId="77777777" w:rsidR="00A65006" w:rsidRPr="00C27667" w:rsidRDefault="002252CF" w:rsidP="00A65006">
            <w:pPr>
              <w:spacing w:after="120"/>
              <w:rPr>
                <w:rFonts w:ascii="Calibri" w:eastAsia="Calibri" w:hAnsi="Calibri"/>
                <w:sz w:val="24"/>
              </w:rPr>
            </w:pPr>
            <w:r w:rsidRPr="00C27667">
              <w:rPr>
                <w:rFonts w:ascii="Calibri" w:eastAsia="Calibri" w:hAnsi="Calibri"/>
                <w:sz w:val="24"/>
              </w:rPr>
              <w:t>Fourniture d’un accompagnement psycho-sociale adéquat à l’endroit des migrants de retour</w:t>
            </w:r>
          </w:p>
          <w:p w14:paraId="7770DC22" w14:textId="77777777" w:rsidR="006D57BD" w:rsidRPr="00C27667" w:rsidRDefault="006D57BD" w:rsidP="006D57BD">
            <w:pPr>
              <w:spacing w:after="120"/>
              <w:rPr>
                <w:rFonts w:eastAsiaTheme="minorEastAsia"/>
                <w:b/>
                <w:bCs/>
              </w:rPr>
            </w:pPr>
            <w:r w:rsidRPr="00C27667">
              <w:rPr>
                <w:rFonts w:eastAsiaTheme="minorEastAsia"/>
                <w:b/>
                <w:bCs/>
              </w:rPr>
              <w:t> 1. Soutien psychologique individuel</w:t>
            </w:r>
          </w:p>
          <w:p w14:paraId="3FB9F831" w14:textId="77777777" w:rsidR="006D57BD" w:rsidRPr="00C27667" w:rsidRDefault="006D57BD" w:rsidP="00ED24B6">
            <w:pPr>
              <w:numPr>
                <w:ilvl w:val="0"/>
                <w:numId w:val="25"/>
              </w:numPr>
              <w:spacing w:after="120"/>
              <w:rPr>
                <w:rFonts w:eastAsiaTheme="minorEastAsia"/>
              </w:rPr>
            </w:pPr>
            <w:r w:rsidRPr="00C27667">
              <w:rPr>
                <w:rFonts w:eastAsiaTheme="minorEastAsia"/>
                <w:b/>
                <w:bCs/>
              </w:rPr>
              <w:t>Écoute active et confidentielle</w:t>
            </w:r>
            <w:r w:rsidRPr="00C27667">
              <w:rPr>
                <w:rFonts w:eastAsiaTheme="minorEastAsia"/>
              </w:rPr>
              <w:t> par des professionnels (psychologues, assistants sociaux).</w:t>
            </w:r>
          </w:p>
          <w:p w14:paraId="5C7342BF" w14:textId="77777777" w:rsidR="006D57BD" w:rsidRPr="00C27667" w:rsidRDefault="006D57BD" w:rsidP="00ED24B6">
            <w:pPr>
              <w:numPr>
                <w:ilvl w:val="0"/>
                <w:numId w:val="25"/>
              </w:numPr>
              <w:spacing w:after="120"/>
              <w:rPr>
                <w:rFonts w:eastAsiaTheme="minorEastAsia"/>
              </w:rPr>
            </w:pPr>
            <w:r w:rsidRPr="00C27667">
              <w:rPr>
                <w:rFonts w:eastAsiaTheme="minorEastAsia"/>
                <w:b/>
                <w:bCs/>
              </w:rPr>
              <w:t>Évaluation des besoins psychosociaux</w:t>
            </w:r>
            <w:r w:rsidRPr="00C27667">
              <w:rPr>
                <w:rFonts w:eastAsiaTheme="minorEastAsia"/>
              </w:rPr>
              <w:t> pour adapter l’accompagnement.</w:t>
            </w:r>
          </w:p>
          <w:p w14:paraId="4CD47626" w14:textId="77777777" w:rsidR="006D57BD" w:rsidRPr="00C27667" w:rsidRDefault="006D57BD" w:rsidP="00ED24B6">
            <w:pPr>
              <w:numPr>
                <w:ilvl w:val="0"/>
                <w:numId w:val="25"/>
              </w:numPr>
              <w:spacing w:after="120"/>
              <w:rPr>
                <w:rFonts w:eastAsiaTheme="minorEastAsia"/>
              </w:rPr>
            </w:pPr>
            <w:r w:rsidRPr="00C27667">
              <w:rPr>
                <w:rFonts w:eastAsiaTheme="minorEastAsia"/>
                <w:b/>
                <w:bCs/>
              </w:rPr>
              <w:t>Thérapies brèves</w:t>
            </w:r>
            <w:r w:rsidRPr="00C27667">
              <w:rPr>
                <w:rFonts w:eastAsiaTheme="minorEastAsia"/>
              </w:rPr>
              <w:t> ou séances de counseling pour traiter les traumatismes ou troubles émotionnels.</w:t>
            </w:r>
          </w:p>
          <w:p w14:paraId="23B7FF1A" w14:textId="77777777" w:rsidR="006D57BD" w:rsidRPr="00C27667" w:rsidRDefault="006D57BD" w:rsidP="006D57BD">
            <w:pPr>
              <w:spacing w:after="120"/>
              <w:rPr>
                <w:rFonts w:eastAsiaTheme="minorEastAsia"/>
                <w:b/>
                <w:bCs/>
              </w:rPr>
            </w:pPr>
            <w:r w:rsidRPr="00C27667">
              <w:rPr>
                <w:rFonts w:eastAsiaTheme="minorEastAsia"/>
                <w:b/>
                <w:bCs/>
              </w:rPr>
              <w:t>2. Activités de groupe et soutien communautaire</w:t>
            </w:r>
          </w:p>
          <w:p w14:paraId="64C24044" w14:textId="77777777" w:rsidR="006D57BD" w:rsidRPr="00C27667" w:rsidRDefault="006D57BD" w:rsidP="00ED24B6">
            <w:pPr>
              <w:numPr>
                <w:ilvl w:val="0"/>
                <w:numId w:val="26"/>
              </w:numPr>
              <w:spacing w:after="120"/>
              <w:rPr>
                <w:rFonts w:eastAsiaTheme="minorEastAsia"/>
              </w:rPr>
            </w:pPr>
            <w:r w:rsidRPr="00C27667">
              <w:rPr>
                <w:rFonts w:eastAsiaTheme="minorEastAsia"/>
                <w:b/>
                <w:bCs/>
              </w:rPr>
              <w:t>Groupes de parole</w:t>
            </w:r>
            <w:r w:rsidRPr="00C27667">
              <w:rPr>
                <w:rFonts w:eastAsiaTheme="minorEastAsia"/>
              </w:rPr>
              <w:t> pour favoriser l’expression des expériences et le partage.</w:t>
            </w:r>
          </w:p>
          <w:p w14:paraId="0B2856E9" w14:textId="77777777" w:rsidR="006D57BD" w:rsidRPr="00C27667" w:rsidRDefault="006D57BD" w:rsidP="00ED24B6">
            <w:pPr>
              <w:numPr>
                <w:ilvl w:val="0"/>
                <w:numId w:val="26"/>
              </w:numPr>
              <w:spacing w:after="120"/>
              <w:rPr>
                <w:rFonts w:eastAsiaTheme="minorEastAsia"/>
              </w:rPr>
            </w:pPr>
            <w:r w:rsidRPr="00C27667">
              <w:rPr>
                <w:rFonts w:eastAsiaTheme="minorEastAsia"/>
                <w:b/>
                <w:bCs/>
              </w:rPr>
              <w:t>Ateliers de résilience</w:t>
            </w:r>
            <w:r w:rsidRPr="00C27667">
              <w:rPr>
                <w:rFonts w:eastAsiaTheme="minorEastAsia"/>
              </w:rPr>
              <w:t> : gestion du stress, estime de soi, communication.</w:t>
            </w:r>
          </w:p>
          <w:p w14:paraId="259AD2D5" w14:textId="77777777" w:rsidR="006D57BD" w:rsidRPr="00C27667" w:rsidRDefault="006D57BD" w:rsidP="00ED24B6">
            <w:pPr>
              <w:numPr>
                <w:ilvl w:val="0"/>
                <w:numId w:val="26"/>
              </w:numPr>
              <w:spacing w:after="120"/>
              <w:rPr>
                <w:rFonts w:eastAsiaTheme="minorEastAsia"/>
              </w:rPr>
            </w:pPr>
            <w:r w:rsidRPr="00C27667">
              <w:rPr>
                <w:rFonts w:eastAsiaTheme="minorEastAsia"/>
                <w:b/>
                <w:bCs/>
              </w:rPr>
              <w:t>Renforcement des liens familiaux</w:t>
            </w:r>
            <w:r w:rsidRPr="00C27667">
              <w:rPr>
                <w:rFonts w:eastAsiaTheme="minorEastAsia"/>
              </w:rPr>
              <w:t> : médiation familiale, conseils parentaux.</w:t>
            </w:r>
          </w:p>
          <w:p w14:paraId="0AFA6EC7" w14:textId="77777777" w:rsidR="006D57BD" w:rsidRPr="00C27667" w:rsidRDefault="006D57BD" w:rsidP="006D57BD">
            <w:pPr>
              <w:spacing w:after="120"/>
              <w:rPr>
                <w:rFonts w:eastAsiaTheme="minorEastAsia"/>
                <w:b/>
                <w:bCs/>
              </w:rPr>
            </w:pPr>
            <w:r w:rsidRPr="00C27667">
              <w:rPr>
                <w:rFonts w:eastAsiaTheme="minorEastAsia"/>
                <w:b/>
                <w:bCs/>
              </w:rPr>
              <w:t>3. Orientation et accompagnement vers les services spécialisés</w:t>
            </w:r>
          </w:p>
          <w:p w14:paraId="44788DE7" w14:textId="77777777" w:rsidR="006D57BD" w:rsidRPr="00C27667" w:rsidRDefault="006D57BD" w:rsidP="00ED24B6">
            <w:pPr>
              <w:numPr>
                <w:ilvl w:val="0"/>
                <w:numId w:val="27"/>
              </w:numPr>
              <w:spacing w:after="120"/>
              <w:rPr>
                <w:rFonts w:eastAsiaTheme="minorEastAsia"/>
              </w:rPr>
            </w:pPr>
            <w:r w:rsidRPr="00C27667">
              <w:rPr>
                <w:rFonts w:eastAsiaTheme="minorEastAsia"/>
                <w:b/>
                <w:bCs/>
              </w:rPr>
              <w:t>Référencement vers les structures de santé mentale</w:t>
            </w:r>
            <w:r w:rsidRPr="00C27667">
              <w:rPr>
                <w:rFonts w:eastAsiaTheme="minorEastAsia"/>
              </w:rPr>
              <w:t> ou services sociaux.</w:t>
            </w:r>
          </w:p>
          <w:p w14:paraId="5FE8A6F1" w14:textId="77777777" w:rsidR="006D57BD" w:rsidRPr="00C27667" w:rsidRDefault="006D57BD" w:rsidP="00ED24B6">
            <w:pPr>
              <w:numPr>
                <w:ilvl w:val="0"/>
                <w:numId w:val="27"/>
              </w:numPr>
              <w:spacing w:after="120"/>
              <w:rPr>
                <w:rFonts w:eastAsiaTheme="minorEastAsia"/>
              </w:rPr>
            </w:pPr>
            <w:r w:rsidRPr="00C27667">
              <w:rPr>
                <w:rFonts w:eastAsiaTheme="minorEastAsia"/>
                <w:b/>
                <w:bCs/>
              </w:rPr>
              <w:t>Appui à l’accès aux soins médicaux</w:t>
            </w:r>
            <w:r w:rsidRPr="00C27667">
              <w:rPr>
                <w:rFonts w:eastAsiaTheme="minorEastAsia"/>
              </w:rPr>
              <w:t>, logement, éducation ou emploi.</w:t>
            </w:r>
          </w:p>
          <w:p w14:paraId="7B594516" w14:textId="77777777" w:rsidR="006D57BD" w:rsidRPr="00C27667" w:rsidRDefault="006D57BD" w:rsidP="00ED24B6">
            <w:pPr>
              <w:numPr>
                <w:ilvl w:val="0"/>
                <w:numId w:val="27"/>
              </w:numPr>
              <w:spacing w:after="120"/>
              <w:rPr>
                <w:rFonts w:eastAsiaTheme="minorEastAsia"/>
              </w:rPr>
            </w:pPr>
            <w:r w:rsidRPr="00C27667">
              <w:rPr>
                <w:rFonts w:eastAsiaTheme="minorEastAsia"/>
                <w:b/>
                <w:bCs/>
              </w:rPr>
              <w:t>Suivi régulier</w:t>
            </w:r>
            <w:r w:rsidRPr="00C27667">
              <w:rPr>
                <w:rFonts w:eastAsiaTheme="minorEastAsia"/>
              </w:rPr>
              <w:t> pour évaluer l’évolution et ajuster l’accompagnement.</w:t>
            </w:r>
          </w:p>
          <w:p w14:paraId="65DD612B" w14:textId="77777777" w:rsidR="006D57BD" w:rsidRPr="00C27667" w:rsidRDefault="006D57BD" w:rsidP="006D57BD">
            <w:pPr>
              <w:spacing w:after="120"/>
              <w:rPr>
                <w:rFonts w:eastAsiaTheme="minorEastAsia"/>
                <w:b/>
                <w:bCs/>
              </w:rPr>
            </w:pPr>
            <w:r w:rsidRPr="00C27667">
              <w:rPr>
                <w:rFonts w:eastAsiaTheme="minorEastAsia"/>
                <w:b/>
                <w:bCs/>
              </w:rPr>
              <w:t>4. Sensibilisation et formation</w:t>
            </w:r>
          </w:p>
          <w:p w14:paraId="78E5AEE5" w14:textId="77777777" w:rsidR="006D57BD" w:rsidRPr="00C27667" w:rsidRDefault="006D57BD" w:rsidP="00ED24B6">
            <w:pPr>
              <w:numPr>
                <w:ilvl w:val="0"/>
                <w:numId w:val="28"/>
              </w:numPr>
              <w:spacing w:after="120"/>
              <w:rPr>
                <w:rFonts w:eastAsiaTheme="minorEastAsia"/>
              </w:rPr>
            </w:pPr>
            <w:r w:rsidRPr="00C27667">
              <w:rPr>
                <w:rFonts w:eastAsiaTheme="minorEastAsia"/>
                <w:b/>
                <w:bCs/>
              </w:rPr>
              <w:t>Sensibilisation aux droits et à la protection</w:t>
            </w:r>
            <w:r w:rsidRPr="00C27667">
              <w:rPr>
                <w:rFonts w:eastAsiaTheme="minorEastAsia"/>
              </w:rPr>
              <w:t> des migrants.</w:t>
            </w:r>
          </w:p>
          <w:p w14:paraId="1E738632" w14:textId="77777777" w:rsidR="006D57BD" w:rsidRPr="00C27667" w:rsidRDefault="006D57BD" w:rsidP="00ED24B6">
            <w:pPr>
              <w:numPr>
                <w:ilvl w:val="0"/>
                <w:numId w:val="28"/>
              </w:numPr>
              <w:spacing w:after="120"/>
              <w:rPr>
                <w:rFonts w:eastAsiaTheme="minorEastAsia"/>
              </w:rPr>
            </w:pPr>
            <w:r w:rsidRPr="00C27667">
              <w:rPr>
                <w:rFonts w:eastAsiaTheme="minorEastAsia"/>
                <w:b/>
                <w:bCs/>
              </w:rPr>
              <w:t>Formation des acteurs communautaires</w:t>
            </w:r>
            <w:r w:rsidRPr="00C27667">
              <w:rPr>
                <w:rFonts w:eastAsiaTheme="minorEastAsia"/>
              </w:rPr>
              <w:t> pour une meilleure inclusion.</w:t>
            </w:r>
          </w:p>
          <w:p w14:paraId="50F00182" w14:textId="77777777" w:rsidR="006D57BD" w:rsidRPr="00C27667" w:rsidRDefault="006D57BD" w:rsidP="00ED24B6">
            <w:pPr>
              <w:numPr>
                <w:ilvl w:val="0"/>
                <w:numId w:val="28"/>
              </w:numPr>
              <w:spacing w:after="120"/>
              <w:rPr>
                <w:rFonts w:eastAsiaTheme="minorEastAsia"/>
              </w:rPr>
            </w:pPr>
            <w:r w:rsidRPr="00C27667">
              <w:rPr>
                <w:rFonts w:eastAsiaTheme="minorEastAsia"/>
                <w:b/>
                <w:bCs/>
              </w:rPr>
              <w:t>Renforcement des capacités des professionnels</w:t>
            </w:r>
            <w:r w:rsidRPr="00C27667">
              <w:rPr>
                <w:rFonts w:eastAsiaTheme="minorEastAsia"/>
              </w:rPr>
              <w:t> en matière de prise en charge psychosociale.</w:t>
            </w:r>
          </w:p>
          <w:p w14:paraId="7065F823" w14:textId="77777777" w:rsidR="006D57BD" w:rsidRPr="00C27667" w:rsidRDefault="006D57BD" w:rsidP="006D57BD">
            <w:pPr>
              <w:spacing w:after="120"/>
              <w:rPr>
                <w:rFonts w:eastAsiaTheme="minorEastAsia"/>
                <w:b/>
                <w:bCs/>
              </w:rPr>
            </w:pPr>
            <w:r w:rsidRPr="00C27667">
              <w:rPr>
                <w:rFonts w:eastAsiaTheme="minorEastAsia"/>
                <w:b/>
                <w:bCs/>
              </w:rPr>
              <w:t>5. Intégration avec les autres volets de réintégration</w:t>
            </w:r>
          </w:p>
          <w:p w14:paraId="12ED3979" w14:textId="77777777" w:rsidR="006D57BD" w:rsidRPr="00C27667" w:rsidRDefault="006D57BD" w:rsidP="00ED24B6">
            <w:pPr>
              <w:numPr>
                <w:ilvl w:val="0"/>
                <w:numId w:val="29"/>
              </w:numPr>
              <w:spacing w:after="120"/>
              <w:rPr>
                <w:rFonts w:eastAsiaTheme="minorEastAsia"/>
              </w:rPr>
            </w:pPr>
            <w:r w:rsidRPr="00C27667">
              <w:rPr>
                <w:rFonts w:eastAsiaTheme="minorEastAsia"/>
              </w:rPr>
              <w:t>Coordination avec les </w:t>
            </w:r>
            <w:r w:rsidRPr="00C27667">
              <w:rPr>
                <w:rFonts w:eastAsiaTheme="minorEastAsia"/>
                <w:b/>
                <w:bCs/>
              </w:rPr>
              <w:t>interventions économiques</w:t>
            </w:r>
            <w:r w:rsidRPr="00C27667">
              <w:rPr>
                <w:rFonts w:eastAsiaTheme="minorEastAsia"/>
              </w:rPr>
              <w:t> (AGR, formation professionnelle).</w:t>
            </w:r>
          </w:p>
          <w:p w14:paraId="31C29A05" w14:textId="77777777" w:rsidR="006D57BD" w:rsidRPr="00C27667" w:rsidRDefault="006D57BD" w:rsidP="00ED24B6">
            <w:pPr>
              <w:numPr>
                <w:ilvl w:val="0"/>
                <w:numId w:val="29"/>
              </w:numPr>
              <w:spacing w:after="120"/>
              <w:rPr>
                <w:rFonts w:eastAsiaTheme="minorEastAsia"/>
              </w:rPr>
            </w:pPr>
            <w:r w:rsidRPr="00C27667">
              <w:rPr>
                <w:rFonts w:eastAsiaTheme="minorEastAsia"/>
              </w:rPr>
              <w:t>Appui à la </w:t>
            </w:r>
            <w:r w:rsidRPr="00C27667">
              <w:rPr>
                <w:rFonts w:eastAsiaTheme="minorEastAsia"/>
                <w:b/>
                <w:bCs/>
              </w:rPr>
              <w:t>réintégration sociale</w:t>
            </w:r>
            <w:r w:rsidRPr="00C27667">
              <w:rPr>
                <w:rFonts w:eastAsiaTheme="minorEastAsia"/>
              </w:rPr>
              <w:t> : inclusion dans les activités communautaires.</w:t>
            </w:r>
          </w:p>
          <w:p w14:paraId="3EC12A82" w14:textId="0BA6C8F8" w:rsidR="006D57BD" w:rsidRPr="00C27667" w:rsidRDefault="006D57BD" w:rsidP="00ED24B6">
            <w:pPr>
              <w:numPr>
                <w:ilvl w:val="0"/>
                <w:numId w:val="29"/>
              </w:numPr>
              <w:spacing w:after="120"/>
              <w:rPr>
                <w:rFonts w:eastAsiaTheme="minorEastAsia"/>
              </w:rPr>
            </w:pPr>
            <w:r w:rsidRPr="00C27667">
              <w:rPr>
                <w:rFonts w:eastAsiaTheme="minorEastAsia"/>
                <w:b/>
                <w:bCs/>
              </w:rPr>
              <w:t>Suivi post-réintégration</w:t>
            </w:r>
            <w:r w:rsidRPr="00C27667">
              <w:rPr>
                <w:rFonts w:eastAsiaTheme="minorEastAsia"/>
              </w:rPr>
              <w:t> pour prévenir les risques de rechute ou de re-migration.</w:t>
            </w:r>
          </w:p>
        </w:tc>
      </w:tr>
      <w:tr w:rsidR="00A65006" w14:paraId="28B76E6A"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773022BB" w14:textId="5C91CD98" w:rsidR="00A65006" w:rsidRDefault="00A65006" w:rsidP="00A65006">
            <w:pPr>
              <w:spacing w:after="120"/>
              <w:rPr>
                <w:rFonts w:eastAsiaTheme="minorEastAsia"/>
              </w:rPr>
            </w:pPr>
            <w:r>
              <w:t>Effets directs généraux</w:t>
            </w:r>
          </w:p>
        </w:tc>
      </w:tr>
      <w:tr w:rsidR="00A65006" w14:paraId="59EDC1C9" w14:textId="77777777" w:rsidTr="085D548D">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569B396C" w14:textId="77777777" w:rsidR="009E740B" w:rsidRPr="00BE7865" w:rsidRDefault="009E740B" w:rsidP="009E740B">
            <w:pPr>
              <w:spacing w:after="120"/>
              <w:rPr>
                <w:rFonts w:eastAsiaTheme="minorEastAsia"/>
                <w:b/>
                <w:bCs/>
              </w:rPr>
            </w:pPr>
            <w:r w:rsidRPr="00BE7865">
              <w:rPr>
                <w:rFonts w:eastAsiaTheme="minorEastAsia"/>
                <w:b/>
                <w:bCs/>
              </w:rPr>
              <w:t>1. Stabilisation émotionnelle et comportementale des bénéficiaires</w:t>
            </w:r>
          </w:p>
          <w:p w14:paraId="1BF6D767" w14:textId="77777777" w:rsidR="009E740B" w:rsidRPr="00BE7865" w:rsidRDefault="009E740B" w:rsidP="00ED24B6">
            <w:pPr>
              <w:numPr>
                <w:ilvl w:val="0"/>
                <w:numId w:val="30"/>
              </w:numPr>
              <w:spacing w:after="120"/>
              <w:rPr>
                <w:rFonts w:eastAsiaTheme="minorEastAsia"/>
              </w:rPr>
            </w:pPr>
            <w:r w:rsidRPr="00BE7865">
              <w:rPr>
                <w:rFonts w:eastAsiaTheme="minorEastAsia"/>
              </w:rPr>
              <w:t>Diminution des troubles psychologiques (stress, anxiété, dépression).</w:t>
            </w:r>
          </w:p>
          <w:p w14:paraId="67B244DC" w14:textId="77777777" w:rsidR="009E740B" w:rsidRPr="00BE7865" w:rsidRDefault="009E740B" w:rsidP="00ED24B6">
            <w:pPr>
              <w:numPr>
                <w:ilvl w:val="0"/>
                <w:numId w:val="30"/>
              </w:numPr>
              <w:spacing w:after="120"/>
              <w:rPr>
                <w:rFonts w:eastAsiaTheme="minorEastAsia"/>
              </w:rPr>
            </w:pPr>
            <w:r w:rsidRPr="00BE7865">
              <w:rPr>
                <w:rFonts w:eastAsiaTheme="minorEastAsia"/>
              </w:rPr>
              <w:t>Amélioration du comportement social et de la capacité à interagir positivement.</w:t>
            </w:r>
          </w:p>
          <w:p w14:paraId="3D089FD6" w14:textId="77777777" w:rsidR="009E740B" w:rsidRPr="00BE7865" w:rsidRDefault="009E740B" w:rsidP="00ED24B6">
            <w:pPr>
              <w:numPr>
                <w:ilvl w:val="0"/>
                <w:numId w:val="30"/>
              </w:numPr>
              <w:spacing w:after="120"/>
              <w:rPr>
                <w:rFonts w:eastAsiaTheme="minorEastAsia"/>
              </w:rPr>
            </w:pPr>
            <w:r w:rsidRPr="00BE7865">
              <w:rPr>
                <w:rFonts w:eastAsiaTheme="minorEastAsia"/>
              </w:rPr>
              <w:t>Réduction des cas de violence, d’isolement ou de comportements à risque.</w:t>
            </w:r>
          </w:p>
          <w:p w14:paraId="76E69633" w14:textId="77777777" w:rsidR="009E740B" w:rsidRPr="00BE7865" w:rsidRDefault="009E740B" w:rsidP="009E740B">
            <w:pPr>
              <w:spacing w:after="120"/>
              <w:rPr>
                <w:rFonts w:eastAsiaTheme="minorEastAsia"/>
                <w:b/>
                <w:bCs/>
              </w:rPr>
            </w:pPr>
            <w:r w:rsidRPr="00BE7865">
              <w:rPr>
                <w:rFonts w:eastAsiaTheme="minorEastAsia"/>
                <w:b/>
                <w:bCs/>
              </w:rPr>
              <w:t>2. Renforcement de la cohésion sociale</w:t>
            </w:r>
          </w:p>
          <w:p w14:paraId="071D2030" w14:textId="77777777" w:rsidR="009E740B" w:rsidRPr="00BE7865" w:rsidRDefault="009E740B" w:rsidP="00ED24B6">
            <w:pPr>
              <w:numPr>
                <w:ilvl w:val="0"/>
                <w:numId w:val="31"/>
              </w:numPr>
              <w:spacing w:after="120"/>
              <w:rPr>
                <w:rFonts w:eastAsiaTheme="minorEastAsia"/>
              </w:rPr>
            </w:pPr>
            <w:r w:rsidRPr="00BE7865">
              <w:rPr>
                <w:rFonts w:eastAsiaTheme="minorEastAsia"/>
              </w:rPr>
              <w:t>Meilleure acceptation des migrants de retour par les communautés locales.</w:t>
            </w:r>
          </w:p>
          <w:p w14:paraId="03687615" w14:textId="77777777" w:rsidR="009E740B" w:rsidRPr="00BE7865" w:rsidRDefault="009E740B" w:rsidP="00ED24B6">
            <w:pPr>
              <w:numPr>
                <w:ilvl w:val="0"/>
                <w:numId w:val="31"/>
              </w:numPr>
              <w:spacing w:after="120"/>
              <w:rPr>
                <w:rFonts w:eastAsiaTheme="minorEastAsia"/>
              </w:rPr>
            </w:pPr>
            <w:r w:rsidRPr="00BE7865">
              <w:rPr>
                <w:rFonts w:eastAsiaTheme="minorEastAsia"/>
              </w:rPr>
              <w:t>Réduction des tensions communautaires liées à la stigmatisation ou à la méfiance.</w:t>
            </w:r>
          </w:p>
          <w:p w14:paraId="5986B049" w14:textId="77777777" w:rsidR="009E740B" w:rsidRPr="00BE7865" w:rsidRDefault="009E740B" w:rsidP="00ED24B6">
            <w:pPr>
              <w:numPr>
                <w:ilvl w:val="0"/>
                <w:numId w:val="31"/>
              </w:numPr>
              <w:spacing w:after="120"/>
              <w:rPr>
                <w:rFonts w:eastAsiaTheme="minorEastAsia"/>
              </w:rPr>
            </w:pPr>
            <w:r w:rsidRPr="00BE7865">
              <w:rPr>
                <w:rFonts w:eastAsiaTheme="minorEastAsia"/>
              </w:rPr>
              <w:t>Création d’un climat favorable à la réintégration durable.</w:t>
            </w:r>
          </w:p>
          <w:p w14:paraId="045C206B" w14:textId="77777777" w:rsidR="009E740B" w:rsidRPr="00BE7865" w:rsidRDefault="009E740B" w:rsidP="009E740B">
            <w:pPr>
              <w:spacing w:after="120"/>
              <w:rPr>
                <w:rFonts w:eastAsiaTheme="minorEastAsia"/>
                <w:b/>
                <w:bCs/>
              </w:rPr>
            </w:pPr>
            <w:r w:rsidRPr="00BE7865">
              <w:rPr>
                <w:rFonts w:eastAsiaTheme="minorEastAsia"/>
                <w:b/>
                <w:bCs/>
              </w:rPr>
              <w:t>3. Augmentation de l’efficacité des autres volets de réintégration</w:t>
            </w:r>
          </w:p>
          <w:p w14:paraId="5D545813" w14:textId="77777777" w:rsidR="009E740B" w:rsidRPr="00BE7865" w:rsidRDefault="009E740B" w:rsidP="00ED24B6">
            <w:pPr>
              <w:numPr>
                <w:ilvl w:val="0"/>
                <w:numId w:val="32"/>
              </w:numPr>
              <w:spacing w:after="120"/>
              <w:rPr>
                <w:rFonts w:eastAsiaTheme="minorEastAsia"/>
              </w:rPr>
            </w:pPr>
            <w:r w:rsidRPr="00BE7865">
              <w:rPr>
                <w:rFonts w:eastAsiaTheme="minorEastAsia"/>
              </w:rPr>
              <w:t>Meilleure participation aux activités économiques (AGR, formation, emploi).</w:t>
            </w:r>
          </w:p>
          <w:p w14:paraId="07C3BB61" w14:textId="77777777" w:rsidR="009E740B" w:rsidRPr="00BE7865" w:rsidRDefault="009E740B" w:rsidP="00ED24B6">
            <w:pPr>
              <w:numPr>
                <w:ilvl w:val="0"/>
                <w:numId w:val="32"/>
              </w:numPr>
              <w:spacing w:after="120"/>
              <w:rPr>
                <w:rFonts w:eastAsiaTheme="minorEastAsia"/>
              </w:rPr>
            </w:pPr>
            <w:r w:rsidRPr="00BE7865">
              <w:rPr>
                <w:rFonts w:eastAsiaTheme="minorEastAsia"/>
              </w:rPr>
              <w:t>Hausse du taux de réussite des projets individuels ou communautaires.</w:t>
            </w:r>
          </w:p>
          <w:p w14:paraId="7AF82FFB" w14:textId="77777777" w:rsidR="009E740B" w:rsidRPr="00BE7865" w:rsidRDefault="009E740B" w:rsidP="00ED24B6">
            <w:pPr>
              <w:numPr>
                <w:ilvl w:val="0"/>
                <w:numId w:val="32"/>
              </w:numPr>
              <w:spacing w:after="120"/>
              <w:rPr>
                <w:rFonts w:eastAsiaTheme="minorEastAsia"/>
              </w:rPr>
            </w:pPr>
            <w:r w:rsidRPr="00BE7865">
              <w:rPr>
                <w:rFonts w:eastAsiaTheme="minorEastAsia"/>
              </w:rPr>
              <w:t>Réduction du taux d’abandon ou d’échec des parcours de réintégration.</w:t>
            </w:r>
          </w:p>
          <w:p w14:paraId="5DF8CC4F" w14:textId="77777777" w:rsidR="009E740B" w:rsidRPr="00BE7865" w:rsidRDefault="009E740B" w:rsidP="009E740B">
            <w:pPr>
              <w:spacing w:after="120"/>
              <w:rPr>
                <w:rFonts w:eastAsiaTheme="minorEastAsia"/>
                <w:b/>
                <w:bCs/>
              </w:rPr>
            </w:pPr>
            <w:r w:rsidRPr="00BE7865">
              <w:rPr>
                <w:rFonts w:eastAsiaTheme="minorEastAsia"/>
                <w:b/>
                <w:bCs/>
              </w:rPr>
              <w:lastRenderedPageBreak/>
              <w:t> 4. Réduction des risques de re-migration irrégulière</w:t>
            </w:r>
          </w:p>
          <w:p w14:paraId="2CC2CF9D" w14:textId="77777777" w:rsidR="009E740B" w:rsidRPr="00BE7865" w:rsidRDefault="009E740B" w:rsidP="00ED24B6">
            <w:pPr>
              <w:numPr>
                <w:ilvl w:val="0"/>
                <w:numId w:val="33"/>
              </w:numPr>
              <w:spacing w:after="120"/>
              <w:rPr>
                <w:rFonts w:eastAsiaTheme="minorEastAsia"/>
              </w:rPr>
            </w:pPr>
            <w:r w:rsidRPr="00BE7865">
              <w:rPr>
                <w:rFonts w:eastAsiaTheme="minorEastAsia"/>
              </w:rPr>
              <w:t>Renforcement du sentiment de sécurité et d’appartenance.</w:t>
            </w:r>
          </w:p>
          <w:p w14:paraId="48A37681" w14:textId="77777777" w:rsidR="009E740B" w:rsidRPr="00BE7865" w:rsidRDefault="009E740B" w:rsidP="00ED24B6">
            <w:pPr>
              <w:numPr>
                <w:ilvl w:val="0"/>
                <w:numId w:val="33"/>
              </w:numPr>
              <w:spacing w:after="120"/>
              <w:rPr>
                <w:rFonts w:eastAsiaTheme="minorEastAsia"/>
              </w:rPr>
            </w:pPr>
            <w:r w:rsidRPr="00BE7865">
              <w:rPr>
                <w:rFonts w:eastAsiaTheme="minorEastAsia"/>
              </w:rPr>
              <w:t>Diminution de l’attrait pour les départs non planifiés ou dangereux.</w:t>
            </w:r>
          </w:p>
          <w:p w14:paraId="4205FCBE" w14:textId="77777777" w:rsidR="009E740B" w:rsidRPr="00BE7865" w:rsidRDefault="009E740B" w:rsidP="00ED24B6">
            <w:pPr>
              <w:numPr>
                <w:ilvl w:val="0"/>
                <w:numId w:val="33"/>
              </w:numPr>
              <w:spacing w:after="120"/>
              <w:rPr>
                <w:rFonts w:eastAsiaTheme="minorEastAsia"/>
              </w:rPr>
            </w:pPr>
            <w:r w:rsidRPr="00BE7865">
              <w:rPr>
                <w:rFonts w:eastAsiaTheme="minorEastAsia"/>
              </w:rPr>
              <w:t>Meilleure compréhension des alternatives locales viables.</w:t>
            </w:r>
          </w:p>
          <w:p w14:paraId="1895F1F0" w14:textId="77777777" w:rsidR="009E740B" w:rsidRPr="00BE7865" w:rsidRDefault="009E740B" w:rsidP="009E740B">
            <w:pPr>
              <w:spacing w:after="120"/>
              <w:rPr>
                <w:rFonts w:eastAsiaTheme="minorEastAsia"/>
                <w:b/>
                <w:bCs/>
              </w:rPr>
            </w:pPr>
            <w:r w:rsidRPr="00BE7865">
              <w:rPr>
                <w:rFonts w:eastAsiaTheme="minorEastAsia"/>
                <w:b/>
                <w:bCs/>
              </w:rPr>
              <w:t>5. Amélioration des indicateurs de performance du projet</w:t>
            </w:r>
          </w:p>
          <w:p w14:paraId="4B6F35F1" w14:textId="77777777" w:rsidR="009E740B" w:rsidRPr="00BE7865" w:rsidRDefault="009E740B" w:rsidP="00ED24B6">
            <w:pPr>
              <w:numPr>
                <w:ilvl w:val="0"/>
                <w:numId w:val="34"/>
              </w:numPr>
              <w:spacing w:after="120"/>
              <w:rPr>
                <w:rFonts w:eastAsiaTheme="minorEastAsia"/>
              </w:rPr>
            </w:pPr>
            <w:r w:rsidRPr="00BE7865">
              <w:rPr>
                <w:rFonts w:eastAsiaTheme="minorEastAsia"/>
              </w:rPr>
              <w:t>Hausse du taux de satisfaction des bénéficiaires.</w:t>
            </w:r>
          </w:p>
          <w:p w14:paraId="04752968" w14:textId="77777777" w:rsidR="009E740B" w:rsidRPr="00BE7865" w:rsidRDefault="009E740B" w:rsidP="00ED24B6">
            <w:pPr>
              <w:numPr>
                <w:ilvl w:val="0"/>
                <w:numId w:val="34"/>
              </w:numPr>
              <w:spacing w:after="120"/>
              <w:rPr>
                <w:rFonts w:eastAsiaTheme="minorEastAsia"/>
              </w:rPr>
            </w:pPr>
            <w:r w:rsidRPr="00BE7865">
              <w:rPr>
                <w:rFonts w:eastAsiaTheme="minorEastAsia"/>
              </w:rPr>
              <w:t>Renforcement de la crédibilité du partenaire auprès des bailleurs.</w:t>
            </w:r>
          </w:p>
          <w:p w14:paraId="7DE8F1E1" w14:textId="19CEB1DF" w:rsidR="00A65006" w:rsidRPr="00BE7865" w:rsidRDefault="009E740B" w:rsidP="00ED24B6">
            <w:pPr>
              <w:numPr>
                <w:ilvl w:val="0"/>
                <w:numId w:val="34"/>
              </w:numPr>
              <w:spacing w:after="120"/>
              <w:rPr>
                <w:rFonts w:eastAsiaTheme="minorEastAsia"/>
              </w:rPr>
            </w:pPr>
            <w:r w:rsidRPr="00BE7865">
              <w:rPr>
                <w:rFonts w:eastAsiaTheme="minorEastAsia"/>
              </w:rPr>
              <w:t>Meilleure documentation des bonnes pratiques et des impacts psychosociaux.</w:t>
            </w:r>
          </w:p>
        </w:tc>
      </w:tr>
      <w:tr w:rsidR="00A65006" w14:paraId="33371E85"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22DE3497" w14:textId="2F4FCCD7" w:rsidR="00A65006" w:rsidRDefault="00A65006" w:rsidP="00A65006">
            <w:pPr>
              <w:spacing w:after="120"/>
              <w:rPr>
                <w:rFonts w:eastAsiaTheme="minorEastAsia"/>
              </w:rPr>
            </w:pPr>
            <w:r>
              <w:lastRenderedPageBreak/>
              <w:t>Résultats escomptés</w:t>
            </w:r>
          </w:p>
        </w:tc>
      </w:tr>
      <w:tr w:rsidR="00A65006" w14:paraId="3548B1BF" w14:textId="77777777" w:rsidTr="085D548D">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5DF4AAF4" w14:textId="4BC27B45" w:rsidR="007645EC" w:rsidRPr="00E02A67" w:rsidRDefault="007645EC" w:rsidP="007645EC">
            <w:pPr>
              <w:spacing w:line="276" w:lineRule="auto"/>
              <w:contextualSpacing/>
              <w:jc w:val="both"/>
              <w:rPr>
                <w:rFonts w:ascii="Calibri" w:eastAsia="Calibri" w:hAnsi="Calibri"/>
                <w:sz w:val="24"/>
              </w:rPr>
            </w:pPr>
            <w:r>
              <w:rPr>
                <w:rFonts w:ascii="Calibri" w:eastAsia="Calibri" w:hAnsi="Calibri"/>
                <w:b/>
                <w:bCs/>
                <w:sz w:val="24"/>
              </w:rPr>
              <w:t>P</w:t>
            </w:r>
            <w:r w:rsidRPr="00E02A67">
              <w:rPr>
                <w:rFonts w:ascii="Calibri" w:eastAsia="Calibri" w:hAnsi="Calibri"/>
                <w:b/>
                <w:bCs/>
                <w:sz w:val="24"/>
              </w:rPr>
              <w:t xml:space="preserve">rogrammation </w:t>
            </w:r>
            <w:r w:rsidR="00C25F98">
              <w:rPr>
                <w:rFonts w:ascii="Calibri" w:eastAsia="Calibri" w:hAnsi="Calibri"/>
                <w:b/>
                <w:bCs/>
                <w:sz w:val="24"/>
              </w:rPr>
              <w:t>SMSPS</w:t>
            </w:r>
            <w:r w:rsidRPr="00E02A67">
              <w:rPr>
                <w:rFonts w:ascii="Calibri" w:eastAsia="Calibri" w:hAnsi="Calibri"/>
                <w:b/>
                <w:bCs/>
                <w:sz w:val="24"/>
              </w:rPr>
              <w:t xml:space="preserve"> contextualisée</w:t>
            </w:r>
          </w:p>
          <w:p w14:paraId="0E4F35ED" w14:textId="0FB720B9" w:rsidR="007645EC" w:rsidRPr="00810F92" w:rsidRDefault="007645EC" w:rsidP="00ED24B6">
            <w:pPr>
              <w:widowControl/>
              <w:numPr>
                <w:ilvl w:val="0"/>
                <w:numId w:val="14"/>
              </w:numPr>
              <w:spacing w:line="276" w:lineRule="auto"/>
              <w:contextualSpacing/>
              <w:jc w:val="both"/>
              <w:rPr>
                <w:rFonts w:ascii="Calibri" w:eastAsia="Calibri" w:hAnsi="Calibri"/>
                <w:sz w:val="24"/>
              </w:rPr>
            </w:pPr>
            <w:r>
              <w:rPr>
                <w:rFonts w:ascii="Calibri" w:eastAsia="Calibri" w:hAnsi="Calibri"/>
                <w:sz w:val="24"/>
              </w:rPr>
              <w:t xml:space="preserve">L’élaboration d’une stratégie et des outils d’intervention pour l’appui la </w:t>
            </w:r>
            <w:r w:rsidRPr="00C25F98">
              <w:rPr>
                <w:rFonts w:ascii="Calibri" w:eastAsia="Calibri" w:hAnsi="Calibri"/>
                <w:sz w:val="24"/>
              </w:rPr>
              <w:t>Santé mentale et soutien psychosocial (SMSPS)</w:t>
            </w:r>
            <w:r w:rsidRPr="00B162B9">
              <w:rPr>
                <w:rFonts w:ascii="Calibri" w:eastAsia="Calibri" w:hAnsi="Calibri"/>
                <w:sz w:val="24"/>
              </w:rPr>
              <w:t xml:space="preserve"> </w:t>
            </w:r>
            <w:r>
              <w:rPr>
                <w:rFonts w:ascii="Calibri" w:eastAsia="Calibri" w:hAnsi="Calibri"/>
                <w:sz w:val="24"/>
              </w:rPr>
              <w:t>des migrants Nigérien de retours.</w:t>
            </w:r>
          </w:p>
          <w:p w14:paraId="0FD46C10" w14:textId="4AD33C61" w:rsidR="007645EC" w:rsidRPr="00E02A67" w:rsidRDefault="007645EC" w:rsidP="00ED24B6">
            <w:pPr>
              <w:widowControl/>
              <w:numPr>
                <w:ilvl w:val="0"/>
                <w:numId w:val="14"/>
              </w:numPr>
              <w:spacing w:line="276" w:lineRule="auto"/>
              <w:contextualSpacing/>
              <w:jc w:val="both"/>
              <w:rPr>
                <w:rFonts w:ascii="Calibri" w:eastAsia="Calibri" w:hAnsi="Calibri"/>
                <w:sz w:val="24"/>
              </w:rPr>
            </w:pPr>
            <w:r w:rsidRPr="00E02A67">
              <w:rPr>
                <w:rFonts w:ascii="Calibri" w:eastAsia="Calibri" w:hAnsi="Calibri"/>
                <w:sz w:val="24"/>
              </w:rPr>
              <w:t xml:space="preserve">Concevoir et mettre en œuvre des interventions </w:t>
            </w:r>
            <w:r w:rsidR="00C25F98">
              <w:rPr>
                <w:rFonts w:ascii="Calibri" w:eastAsia="Calibri" w:hAnsi="Calibri"/>
                <w:sz w:val="24"/>
              </w:rPr>
              <w:t>SMSPS</w:t>
            </w:r>
            <w:r w:rsidRPr="00E02A67">
              <w:rPr>
                <w:rFonts w:ascii="Calibri" w:eastAsia="Calibri" w:hAnsi="Calibri"/>
                <w:sz w:val="24"/>
              </w:rPr>
              <w:t xml:space="preserve"> adaptées culturellement et sensibles au genre, répondant aux besoins des Nigérians de retour.</w:t>
            </w:r>
          </w:p>
          <w:p w14:paraId="634266AB" w14:textId="77777777" w:rsidR="007645EC" w:rsidRDefault="007645EC" w:rsidP="00ED24B6">
            <w:pPr>
              <w:widowControl/>
              <w:numPr>
                <w:ilvl w:val="0"/>
                <w:numId w:val="14"/>
              </w:numPr>
              <w:spacing w:line="276" w:lineRule="auto"/>
              <w:contextualSpacing/>
              <w:jc w:val="both"/>
              <w:rPr>
                <w:rFonts w:ascii="Calibri" w:eastAsia="Calibri" w:hAnsi="Calibri"/>
                <w:sz w:val="24"/>
              </w:rPr>
            </w:pPr>
            <w:r w:rsidRPr="00E02A67">
              <w:rPr>
                <w:rFonts w:ascii="Calibri" w:eastAsia="Calibri" w:hAnsi="Calibri"/>
                <w:sz w:val="24"/>
              </w:rPr>
              <w:t>Prendre en compte l</w:t>
            </w:r>
            <w:r>
              <w:rPr>
                <w:rFonts w:ascii="Calibri" w:eastAsia="Calibri" w:hAnsi="Calibri"/>
                <w:sz w:val="24"/>
              </w:rPr>
              <w:t>a</w:t>
            </w:r>
            <w:r w:rsidRPr="00E02A67">
              <w:rPr>
                <w:rFonts w:ascii="Calibri" w:eastAsia="Calibri" w:hAnsi="Calibri"/>
                <w:sz w:val="24"/>
              </w:rPr>
              <w:t xml:space="preserve"> </w:t>
            </w:r>
            <w:r w:rsidRPr="00A96E41">
              <w:rPr>
                <w:rFonts w:ascii="Calibri" w:eastAsia="Calibri" w:hAnsi="Calibri"/>
                <w:sz w:val="24"/>
              </w:rPr>
              <w:t>détresse psychosociale</w:t>
            </w:r>
            <w:r>
              <w:rPr>
                <w:rFonts w:ascii="Calibri" w:eastAsia="Calibri" w:hAnsi="Calibri"/>
                <w:sz w:val="24"/>
              </w:rPr>
              <w:t xml:space="preserve"> </w:t>
            </w:r>
            <w:r w:rsidRPr="00E02A67">
              <w:rPr>
                <w:rFonts w:ascii="Calibri" w:eastAsia="Calibri" w:hAnsi="Calibri"/>
                <w:sz w:val="24"/>
              </w:rPr>
              <w:t>liés à la migration, au retour et aux défis de la réintégration</w:t>
            </w:r>
            <w:r>
              <w:rPr>
                <w:rFonts w:ascii="Calibri" w:eastAsia="Calibri" w:hAnsi="Calibri"/>
                <w:sz w:val="24"/>
              </w:rPr>
              <w:t xml:space="preserve"> pour </w:t>
            </w:r>
            <w:r w:rsidRPr="00A96E41">
              <w:rPr>
                <w:rFonts w:ascii="Calibri" w:eastAsia="Calibri" w:hAnsi="Calibri"/>
                <w:sz w:val="24"/>
              </w:rPr>
              <w:t xml:space="preserve">renforcer la </w:t>
            </w:r>
            <w:r>
              <w:rPr>
                <w:rFonts w:ascii="Calibri" w:eastAsia="Calibri" w:hAnsi="Calibri"/>
                <w:sz w:val="24"/>
              </w:rPr>
              <w:t xml:space="preserve">résilience. </w:t>
            </w:r>
          </w:p>
          <w:p w14:paraId="0569AB8E" w14:textId="77777777" w:rsidR="007645EC" w:rsidRDefault="007645EC" w:rsidP="00ED24B6">
            <w:pPr>
              <w:widowControl/>
              <w:numPr>
                <w:ilvl w:val="0"/>
                <w:numId w:val="14"/>
              </w:numPr>
              <w:spacing w:line="276" w:lineRule="auto"/>
              <w:contextualSpacing/>
              <w:jc w:val="both"/>
              <w:rPr>
                <w:rFonts w:ascii="Calibri" w:eastAsia="Calibri" w:hAnsi="Calibri"/>
                <w:sz w:val="24"/>
              </w:rPr>
            </w:pPr>
            <w:r w:rsidRPr="00A96E41">
              <w:rPr>
                <w:rFonts w:ascii="Calibri" w:eastAsia="Calibri" w:hAnsi="Calibri"/>
                <w:sz w:val="24"/>
              </w:rPr>
              <w:t>Mener une évaluation psychosociale comme première étape, en utilisant les outils de l’OIM ou d'autres outils standardisés convenus.</w:t>
            </w:r>
          </w:p>
          <w:p w14:paraId="41E71C9C" w14:textId="7AFD8DE4" w:rsidR="007645EC" w:rsidRPr="00810F92" w:rsidRDefault="007645EC" w:rsidP="00ED24B6">
            <w:pPr>
              <w:widowControl/>
              <w:numPr>
                <w:ilvl w:val="0"/>
                <w:numId w:val="14"/>
              </w:numPr>
              <w:spacing w:line="276" w:lineRule="auto"/>
              <w:contextualSpacing/>
              <w:jc w:val="both"/>
              <w:rPr>
                <w:rFonts w:ascii="Calibri" w:eastAsia="Calibri" w:hAnsi="Calibri"/>
                <w:sz w:val="24"/>
              </w:rPr>
            </w:pPr>
            <w:r w:rsidRPr="00A96E41">
              <w:rPr>
                <w:rFonts w:ascii="Calibri" w:eastAsia="Calibri" w:hAnsi="Calibri"/>
                <w:sz w:val="24"/>
              </w:rPr>
              <w:t xml:space="preserve">Fournir des services </w:t>
            </w:r>
            <w:r w:rsidR="00C25F98">
              <w:rPr>
                <w:rFonts w:ascii="Calibri" w:eastAsia="Calibri" w:hAnsi="Calibri"/>
                <w:sz w:val="24"/>
              </w:rPr>
              <w:t>SMSPS</w:t>
            </w:r>
            <w:r w:rsidRPr="00A96E41">
              <w:rPr>
                <w:rFonts w:ascii="Calibri" w:eastAsia="Calibri" w:hAnsi="Calibri"/>
                <w:sz w:val="24"/>
              </w:rPr>
              <w:t xml:space="preserve"> ciblés pour les personnes qui en ont besoin</w:t>
            </w:r>
            <w:r>
              <w:rPr>
                <w:rFonts w:ascii="Calibri" w:eastAsia="Calibri" w:hAnsi="Calibri"/>
                <w:sz w:val="24"/>
              </w:rPr>
              <w:t xml:space="preserve"> en incluant la gestion des cas,</w:t>
            </w:r>
            <w:r w:rsidRPr="00A96E41">
              <w:rPr>
                <w:rFonts w:ascii="Calibri" w:eastAsia="Calibri" w:hAnsi="Calibri"/>
                <w:sz w:val="24"/>
              </w:rPr>
              <w:t xml:space="preserve"> et assurer l’orientation vers des services spécialisés pour celles qui le nécessitent</w:t>
            </w:r>
          </w:p>
          <w:p w14:paraId="5A416516" w14:textId="77777777" w:rsidR="007645EC" w:rsidRDefault="007645EC" w:rsidP="00ED24B6">
            <w:pPr>
              <w:widowControl/>
              <w:numPr>
                <w:ilvl w:val="0"/>
                <w:numId w:val="14"/>
              </w:numPr>
              <w:spacing w:line="276" w:lineRule="auto"/>
              <w:contextualSpacing/>
              <w:jc w:val="both"/>
              <w:rPr>
                <w:rFonts w:ascii="Calibri" w:eastAsia="Calibri" w:hAnsi="Calibri"/>
                <w:sz w:val="24"/>
              </w:rPr>
            </w:pPr>
            <w:r w:rsidRPr="00E02A67">
              <w:rPr>
                <w:rFonts w:ascii="Calibri" w:eastAsia="Calibri" w:hAnsi="Calibri"/>
                <w:sz w:val="24"/>
              </w:rPr>
              <w:t>Soutien aux défis de réintégration tels que la réunification familiale et l’acceptation sociale</w:t>
            </w:r>
          </w:p>
          <w:p w14:paraId="1A490D7C" w14:textId="723DA760" w:rsidR="007645EC" w:rsidRPr="007645EC" w:rsidRDefault="007645EC" w:rsidP="00ED24B6">
            <w:pPr>
              <w:widowControl/>
              <w:numPr>
                <w:ilvl w:val="0"/>
                <w:numId w:val="14"/>
              </w:numPr>
              <w:spacing w:line="276" w:lineRule="auto"/>
              <w:contextualSpacing/>
              <w:jc w:val="both"/>
              <w:rPr>
                <w:rFonts w:ascii="Calibri" w:eastAsia="Calibri" w:hAnsi="Calibri"/>
                <w:sz w:val="24"/>
              </w:rPr>
            </w:pPr>
            <w:r w:rsidRPr="00A96E41">
              <w:rPr>
                <w:rFonts w:ascii="Calibri" w:eastAsia="Calibri" w:hAnsi="Calibri"/>
                <w:sz w:val="24"/>
              </w:rPr>
              <w:t xml:space="preserve">Intégration de l’éducation psychologique </w:t>
            </w:r>
            <w:r w:rsidR="00C25F98">
              <w:rPr>
                <w:rFonts w:ascii="Calibri" w:eastAsia="Calibri" w:hAnsi="Calibri"/>
                <w:sz w:val="24"/>
              </w:rPr>
              <w:t>SMSPS</w:t>
            </w:r>
            <w:r w:rsidRPr="00A96E41">
              <w:rPr>
                <w:rFonts w:ascii="Calibri" w:eastAsia="Calibri" w:hAnsi="Calibri"/>
                <w:sz w:val="24"/>
              </w:rPr>
              <w:t xml:space="preserve"> dans les formations aux compétences entrepreneuriales</w:t>
            </w:r>
            <w:r>
              <w:rPr>
                <w:rFonts w:ascii="Calibri" w:eastAsia="Calibri" w:hAnsi="Calibri"/>
                <w:sz w:val="24"/>
              </w:rPr>
              <w:t xml:space="preserve"> </w:t>
            </w:r>
          </w:p>
          <w:p w14:paraId="7F97208A" w14:textId="77777777" w:rsidR="007645EC" w:rsidRDefault="007645EC" w:rsidP="007645EC">
            <w:pPr>
              <w:spacing w:line="276" w:lineRule="auto"/>
              <w:jc w:val="both"/>
              <w:rPr>
                <w:rFonts w:ascii="Calibri" w:eastAsia="Calibri" w:hAnsi="Calibri"/>
                <w:b/>
                <w:bCs/>
                <w:sz w:val="24"/>
              </w:rPr>
            </w:pPr>
            <w:r w:rsidRPr="00A96E41">
              <w:rPr>
                <w:rFonts w:ascii="Calibri" w:eastAsia="Calibri" w:hAnsi="Calibri"/>
                <w:b/>
                <w:bCs/>
                <w:sz w:val="24"/>
              </w:rPr>
              <w:t>Taille et capacité en ressources humaines du partenaire de mise en œuvre :</w:t>
            </w:r>
          </w:p>
          <w:p w14:paraId="63C84DCF" w14:textId="4816ED10" w:rsidR="007645EC" w:rsidRDefault="007645EC" w:rsidP="00ED24B6">
            <w:pPr>
              <w:pStyle w:val="Paragraphedeliste"/>
              <w:widowControl/>
              <w:numPr>
                <w:ilvl w:val="0"/>
                <w:numId w:val="23"/>
              </w:numPr>
              <w:spacing w:line="276" w:lineRule="auto"/>
              <w:jc w:val="both"/>
              <w:rPr>
                <w:rFonts w:ascii="Calibri" w:eastAsia="Calibri" w:hAnsi="Calibri"/>
                <w:sz w:val="24"/>
              </w:rPr>
            </w:pPr>
            <w:r w:rsidRPr="00A96E41">
              <w:rPr>
                <w:rFonts w:ascii="Calibri" w:eastAsia="Calibri" w:hAnsi="Calibri"/>
                <w:sz w:val="24"/>
              </w:rPr>
              <w:t xml:space="preserve">Capable de déployer à travers le pays une équipe </w:t>
            </w:r>
            <w:r w:rsidR="00C25F98">
              <w:rPr>
                <w:rFonts w:ascii="Calibri" w:eastAsia="Calibri" w:hAnsi="Calibri"/>
                <w:sz w:val="24"/>
              </w:rPr>
              <w:t>SMSPS</w:t>
            </w:r>
            <w:r w:rsidRPr="00A96E41">
              <w:rPr>
                <w:rFonts w:ascii="Calibri" w:eastAsia="Calibri" w:hAnsi="Calibri"/>
                <w:sz w:val="24"/>
              </w:rPr>
              <w:t xml:space="preserve"> comprenant des psychologues, des agents de suivi de cas, des travailleurs sociaux, des infirmiers psychiatriques bien formés, capables de répondre aux besoins de 2000 bénéficiaires</w:t>
            </w:r>
            <w:r>
              <w:rPr>
                <w:rFonts w:ascii="Calibri" w:eastAsia="Calibri" w:hAnsi="Calibri"/>
                <w:sz w:val="24"/>
              </w:rPr>
              <w:t xml:space="preserve">, </w:t>
            </w:r>
            <w:r w:rsidRPr="00A96E41">
              <w:rPr>
                <w:rFonts w:ascii="Calibri" w:eastAsia="Calibri" w:hAnsi="Calibri"/>
                <w:sz w:val="24"/>
              </w:rPr>
              <w:t xml:space="preserve">en plus du superviseur </w:t>
            </w:r>
            <w:r w:rsidR="00C25F98">
              <w:rPr>
                <w:rFonts w:ascii="Calibri" w:eastAsia="Calibri" w:hAnsi="Calibri"/>
                <w:sz w:val="24"/>
              </w:rPr>
              <w:t>SMSPS</w:t>
            </w:r>
            <w:r>
              <w:rPr>
                <w:rFonts w:ascii="Calibri" w:eastAsia="Calibri" w:hAnsi="Calibri"/>
                <w:sz w:val="24"/>
              </w:rPr>
              <w:t xml:space="preserve"> pour gérer et guider l’équipe.</w:t>
            </w:r>
          </w:p>
          <w:p w14:paraId="2C2CA72A" w14:textId="09309971" w:rsidR="007645EC" w:rsidRPr="007645EC" w:rsidRDefault="007645EC" w:rsidP="00ED24B6">
            <w:pPr>
              <w:pStyle w:val="Paragraphedeliste"/>
              <w:widowControl/>
              <w:numPr>
                <w:ilvl w:val="0"/>
                <w:numId w:val="23"/>
              </w:numPr>
              <w:spacing w:line="276" w:lineRule="auto"/>
              <w:jc w:val="both"/>
              <w:rPr>
                <w:rFonts w:ascii="Calibri" w:eastAsia="Calibri" w:hAnsi="Calibri"/>
                <w:sz w:val="24"/>
              </w:rPr>
            </w:pPr>
            <w:r w:rsidRPr="00A96E41">
              <w:rPr>
                <w:rFonts w:ascii="Calibri" w:eastAsia="Calibri" w:hAnsi="Calibri"/>
                <w:sz w:val="24"/>
              </w:rPr>
              <w:t>Avoir une composante forte de supervision pour garantir la qualité des services, ainsi qu’une composante de soutien au personnel afin d’assurer le bien-être des équipes</w:t>
            </w:r>
          </w:p>
          <w:p w14:paraId="4815C1DC" w14:textId="77777777" w:rsidR="007645EC" w:rsidRPr="00E02A67" w:rsidRDefault="007645EC" w:rsidP="007645EC">
            <w:pPr>
              <w:spacing w:line="276" w:lineRule="auto"/>
              <w:contextualSpacing/>
              <w:jc w:val="both"/>
              <w:rPr>
                <w:rFonts w:ascii="Calibri" w:eastAsia="Calibri" w:hAnsi="Calibri"/>
                <w:sz w:val="24"/>
              </w:rPr>
            </w:pPr>
            <w:r w:rsidRPr="00E02A67">
              <w:rPr>
                <w:rFonts w:ascii="Calibri" w:eastAsia="Calibri" w:hAnsi="Calibri"/>
                <w:b/>
                <w:bCs/>
                <w:sz w:val="24"/>
              </w:rPr>
              <w:t>Services de soutien à plusieurs niveaux</w:t>
            </w:r>
          </w:p>
          <w:p w14:paraId="05BAF954" w14:textId="12DC4F78" w:rsidR="007645EC" w:rsidRPr="00E02A67" w:rsidRDefault="007645EC" w:rsidP="00ED24B6">
            <w:pPr>
              <w:widowControl/>
              <w:numPr>
                <w:ilvl w:val="0"/>
                <w:numId w:val="15"/>
              </w:numPr>
              <w:spacing w:line="276" w:lineRule="auto"/>
              <w:contextualSpacing/>
              <w:jc w:val="both"/>
              <w:rPr>
                <w:rFonts w:ascii="Calibri" w:eastAsia="Calibri" w:hAnsi="Calibri"/>
                <w:sz w:val="24"/>
              </w:rPr>
            </w:pPr>
            <w:r w:rsidRPr="00E02A67">
              <w:rPr>
                <w:rFonts w:ascii="Calibri" w:eastAsia="Calibri" w:hAnsi="Calibri"/>
                <w:sz w:val="24"/>
              </w:rPr>
              <w:t xml:space="preserve">Fournir une gamme de services conformes à la pyramide </w:t>
            </w:r>
            <w:r>
              <w:rPr>
                <w:rFonts w:ascii="Calibri" w:eastAsia="Calibri" w:hAnsi="Calibri"/>
                <w:sz w:val="24"/>
              </w:rPr>
              <w:t>SMSPS</w:t>
            </w:r>
            <w:r w:rsidRPr="00E02A67">
              <w:rPr>
                <w:rFonts w:ascii="Calibri" w:eastAsia="Calibri" w:hAnsi="Calibri"/>
                <w:sz w:val="24"/>
              </w:rPr>
              <w:t xml:space="preserve"> du </w:t>
            </w:r>
            <w:r>
              <w:rPr>
                <w:rFonts w:ascii="Calibri" w:eastAsia="Calibri" w:hAnsi="Calibri"/>
                <w:sz w:val="24"/>
              </w:rPr>
              <w:t>IASC (</w:t>
            </w:r>
            <w:r w:rsidRPr="00B162B9">
              <w:rPr>
                <w:rFonts w:ascii="Calibri" w:eastAsia="Calibri" w:hAnsi="Calibri"/>
                <w:sz w:val="24"/>
              </w:rPr>
              <w:t xml:space="preserve">Inter-Agency Standing </w:t>
            </w:r>
            <w:proofErr w:type="spellStart"/>
            <w:r w:rsidRPr="00B162B9">
              <w:rPr>
                <w:rFonts w:ascii="Calibri" w:eastAsia="Calibri" w:hAnsi="Calibri"/>
                <w:sz w:val="24"/>
              </w:rPr>
              <w:t>Committee</w:t>
            </w:r>
            <w:proofErr w:type="spellEnd"/>
            <w:r>
              <w:rPr>
                <w:rFonts w:ascii="Calibri" w:eastAsia="Calibri" w:hAnsi="Calibri"/>
                <w:sz w:val="24"/>
              </w:rPr>
              <w:t>)</w:t>
            </w:r>
            <w:r w:rsidRPr="00E02A67">
              <w:rPr>
                <w:rFonts w:ascii="Calibri" w:eastAsia="Calibri" w:hAnsi="Calibri"/>
                <w:sz w:val="24"/>
              </w:rPr>
              <w:t xml:space="preserve"> :</w:t>
            </w:r>
          </w:p>
          <w:p w14:paraId="70FBCE46" w14:textId="77777777" w:rsidR="007645EC" w:rsidRDefault="007645EC" w:rsidP="00ED24B6">
            <w:pPr>
              <w:widowControl/>
              <w:numPr>
                <w:ilvl w:val="0"/>
                <w:numId w:val="13"/>
              </w:numPr>
              <w:spacing w:after="140" w:line="276" w:lineRule="auto"/>
              <w:contextualSpacing/>
              <w:jc w:val="both"/>
              <w:rPr>
                <w:rFonts w:ascii="Calibri" w:eastAsia="Calibri" w:hAnsi="Calibri"/>
                <w:sz w:val="24"/>
              </w:rPr>
            </w:pPr>
            <w:r w:rsidRPr="00E02A67">
              <w:rPr>
                <w:rFonts w:ascii="Calibri" w:eastAsia="Calibri" w:hAnsi="Calibri"/>
                <w:sz w:val="24"/>
              </w:rPr>
              <w:t>Soutiens communautaires et familiaux</w:t>
            </w:r>
            <w:r>
              <w:rPr>
                <w:rFonts w:ascii="Calibri" w:eastAsia="Calibri" w:hAnsi="Calibri"/>
                <w:sz w:val="24"/>
              </w:rPr>
              <w:t xml:space="preserve"> comme L’organisation des séances psycho-éducatives et de sensibilisation au profit des migrants de retours et les membres de leurs communautés d’accueils, l’engagement et l</w:t>
            </w:r>
            <w:r w:rsidRPr="00A96E41">
              <w:rPr>
                <w:rFonts w:ascii="Calibri" w:eastAsia="Calibri" w:hAnsi="Calibri"/>
                <w:sz w:val="24"/>
              </w:rPr>
              <w:t>a médiation familiale</w:t>
            </w:r>
            <w:r>
              <w:rPr>
                <w:rFonts w:ascii="Calibri" w:eastAsia="Calibri" w:hAnsi="Calibri"/>
                <w:sz w:val="24"/>
              </w:rPr>
              <w:t>, a</w:t>
            </w:r>
            <w:r w:rsidRPr="00A96E41">
              <w:rPr>
                <w:rFonts w:ascii="Calibri" w:eastAsia="Calibri" w:hAnsi="Calibri"/>
                <w:sz w:val="24"/>
              </w:rPr>
              <w:t>ctivités récréatives, créatives et socio-culturelles</w:t>
            </w:r>
            <w:r>
              <w:rPr>
                <w:rFonts w:ascii="Calibri" w:eastAsia="Calibri" w:hAnsi="Calibri"/>
                <w:sz w:val="24"/>
              </w:rPr>
              <w:t>.</w:t>
            </w:r>
          </w:p>
          <w:p w14:paraId="07254D91" w14:textId="77777777" w:rsidR="007645EC" w:rsidRDefault="007645EC" w:rsidP="00ED24B6">
            <w:pPr>
              <w:widowControl/>
              <w:numPr>
                <w:ilvl w:val="0"/>
                <w:numId w:val="13"/>
              </w:numPr>
              <w:spacing w:after="140" w:line="276" w:lineRule="auto"/>
              <w:contextualSpacing/>
              <w:jc w:val="both"/>
              <w:rPr>
                <w:rFonts w:ascii="Calibri" w:eastAsia="Calibri" w:hAnsi="Calibri"/>
                <w:sz w:val="24"/>
              </w:rPr>
            </w:pPr>
            <w:r w:rsidRPr="00E3321C">
              <w:rPr>
                <w:rFonts w:ascii="Calibri" w:eastAsia="Calibri" w:hAnsi="Calibri"/>
                <w:sz w:val="24"/>
              </w:rPr>
              <w:t xml:space="preserve">Soutiens spécialisés </w:t>
            </w:r>
            <w:r>
              <w:rPr>
                <w:rFonts w:ascii="Calibri" w:eastAsia="Calibri" w:hAnsi="Calibri"/>
                <w:sz w:val="24"/>
              </w:rPr>
              <w:t xml:space="preserve">ou </w:t>
            </w:r>
            <w:r w:rsidRPr="00E3321C">
              <w:rPr>
                <w:rFonts w:ascii="Calibri" w:eastAsia="Calibri" w:hAnsi="Calibri"/>
                <w:sz w:val="24"/>
              </w:rPr>
              <w:t>non spécialisés (ex. : entretien psychosociaux individuelles, collectives ou familiales)</w:t>
            </w:r>
          </w:p>
          <w:p w14:paraId="2C7E0FAB" w14:textId="5464C037" w:rsidR="007645EC" w:rsidRPr="007645EC" w:rsidRDefault="007645EC" w:rsidP="00ED24B6">
            <w:pPr>
              <w:widowControl/>
              <w:numPr>
                <w:ilvl w:val="0"/>
                <w:numId w:val="13"/>
              </w:numPr>
              <w:spacing w:after="140" w:line="276" w:lineRule="auto"/>
              <w:contextualSpacing/>
              <w:jc w:val="both"/>
              <w:rPr>
                <w:rFonts w:ascii="Calibri" w:eastAsia="Calibri" w:hAnsi="Calibri"/>
                <w:sz w:val="24"/>
              </w:rPr>
            </w:pPr>
            <w:r w:rsidRPr="00E3321C">
              <w:rPr>
                <w:rFonts w:ascii="Calibri" w:eastAsia="Calibri" w:hAnsi="Calibri"/>
                <w:sz w:val="24"/>
              </w:rPr>
              <w:lastRenderedPageBreak/>
              <w:t>Orientation vers des services spécialisés (si disponibles)</w:t>
            </w:r>
            <w:r>
              <w:rPr>
                <w:rFonts w:ascii="Calibri" w:eastAsia="Calibri" w:hAnsi="Calibri"/>
                <w:sz w:val="24"/>
              </w:rPr>
              <w:t xml:space="preserve"> en </w:t>
            </w:r>
            <w:r w:rsidRPr="00A96E41">
              <w:rPr>
                <w:rFonts w:ascii="Calibri" w:eastAsia="Calibri" w:hAnsi="Calibri"/>
                <w:sz w:val="24"/>
              </w:rPr>
              <w:t>dispos</w:t>
            </w:r>
            <w:r>
              <w:rPr>
                <w:rFonts w:ascii="Calibri" w:eastAsia="Calibri" w:hAnsi="Calibri"/>
                <w:sz w:val="24"/>
              </w:rPr>
              <w:t xml:space="preserve">ant </w:t>
            </w:r>
            <w:r w:rsidRPr="00A96E41">
              <w:rPr>
                <w:rFonts w:ascii="Calibri" w:eastAsia="Calibri" w:hAnsi="Calibri"/>
                <w:sz w:val="24"/>
              </w:rPr>
              <w:t>d’une cartographie solide des partenaires de référence ainsi que de protocoles de référencement en place.</w:t>
            </w:r>
          </w:p>
          <w:p w14:paraId="7B2BE11E" w14:textId="77777777" w:rsidR="007645EC" w:rsidRPr="00E02A67" w:rsidRDefault="007645EC" w:rsidP="007645EC">
            <w:pPr>
              <w:spacing w:line="276" w:lineRule="auto"/>
              <w:contextualSpacing/>
              <w:jc w:val="both"/>
              <w:rPr>
                <w:rFonts w:ascii="Calibri" w:eastAsia="Calibri" w:hAnsi="Calibri"/>
                <w:sz w:val="24"/>
              </w:rPr>
            </w:pPr>
            <w:r w:rsidRPr="00E02A67">
              <w:rPr>
                <w:rFonts w:ascii="Calibri" w:eastAsia="Calibri" w:hAnsi="Calibri"/>
                <w:b/>
                <w:bCs/>
                <w:sz w:val="24"/>
              </w:rPr>
              <w:t>Renforcement des capacités et formation</w:t>
            </w:r>
          </w:p>
          <w:p w14:paraId="5D683F79" w14:textId="4FB9197C" w:rsidR="007645EC" w:rsidRPr="00E02A67" w:rsidRDefault="007645EC" w:rsidP="00ED24B6">
            <w:pPr>
              <w:widowControl/>
              <w:numPr>
                <w:ilvl w:val="0"/>
                <w:numId w:val="16"/>
              </w:numPr>
              <w:spacing w:line="276" w:lineRule="auto"/>
              <w:contextualSpacing/>
              <w:rPr>
                <w:rFonts w:ascii="Calibri" w:eastAsia="Calibri" w:hAnsi="Calibri"/>
                <w:sz w:val="24"/>
              </w:rPr>
            </w:pPr>
            <w:r w:rsidRPr="00E02A67">
              <w:rPr>
                <w:rFonts w:ascii="Calibri" w:eastAsia="Calibri" w:hAnsi="Calibri"/>
                <w:sz w:val="24"/>
              </w:rPr>
              <w:t xml:space="preserve">Former et superviser le personnel local et les bénévoles communautaires aux principes </w:t>
            </w:r>
            <w:r w:rsidR="00AA474F">
              <w:rPr>
                <w:rFonts w:ascii="Calibri" w:eastAsia="Calibri" w:hAnsi="Calibri"/>
                <w:sz w:val="24"/>
              </w:rPr>
              <w:t>SMSPS</w:t>
            </w:r>
            <w:r w:rsidRPr="00E02A67">
              <w:rPr>
                <w:rFonts w:ascii="Calibri" w:eastAsia="Calibri" w:hAnsi="Calibri"/>
                <w:sz w:val="24"/>
              </w:rPr>
              <w:t xml:space="preserve">, aux premiers secours </w:t>
            </w:r>
            <w:r>
              <w:rPr>
                <w:rFonts w:ascii="Calibri" w:eastAsia="Calibri" w:hAnsi="Calibri"/>
                <w:sz w:val="24"/>
              </w:rPr>
              <w:t>en santé mentale</w:t>
            </w:r>
            <w:r w:rsidRPr="00E02A67">
              <w:rPr>
                <w:rFonts w:ascii="Calibri" w:eastAsia="Calibri" w:hAnsi="Calibri"/>
                <w:sz w:val="24"/>
              </w:rPr>
              <w:t xml:space="preserve"> </w:t>
            </w:r>
            <w:r w:rsidR="00DB34EA" w:rsidRPr="00E02A67">
              <w:rPr>
                <w:rFonts w:ascii="Calibri" w:eastAsia="Calibri" w:hAnsi="Calibri"/>
                <w:sz w:val="24"/>
              </w:rPr>
              <w:t>(</w:t>
            </w:r>
            <w:r w:rsidR="00DB34EA" w:rsidRPr="000E1689">
              <w:t>PSSM</w:t>
            </w:r>
            <w:r w:rsidRPr="00E02A67">
              <w:rPr>
                <w:rFonts w:ascii="Calibri" w:eastAsia="Calibri" w:hAnsi="Calibri"/>
                <w:sz w:val="24"/>
              </w:rPr>
              <w:t>, à la gestion des cas e</w:t>
            </w:r>
            <w:r>
              <w:rPr>
                <w:rFonts w:ascii="Calibri" w:eastAsia="Calibri" w:hAnsi="Calibri"/>
                <w:sz w:val="24"/>
              </w:rPr>
              <w:t>t a l’</w:t>
            </w:r>
            <w:r w:rsidRPr="00DA40B4">
              <w:rPr>
                <w:rFonts w:ascii="Calibri" w:eastAsia="Calibri" w:hAnsi="Calibri"/>
                <w:sz w:val="24"/>
              </w:rPr>
              <w:t>approche</w:t>
            </w:r>
            <w:r w:rsidRPr="00A96E41">
              <w:rPr>
                <w:rFonts w:ascii="Calibri" w:eastAsia="Calibri" w:hAnsi="Calibri"/>
                <w:sz w:val="24"/>
              </w:rPr>
              <w:t xml:space="preserve"> de mentorat</w:t>
            </w:r>
          </w:p>
          <w:p w14:paraId="5CD18C5E" w14:textId="4C68ECB8" w:rsidR="007645EC" w:rsidRPr="007645EC" w:rsidRDefault="007645EC" w:rsidP="00ED24B6">
            <w:pPr>
              <w:widowControl/>
              <w:numPr>
                <w:ilvl w:val="0"/>
                <w:numId w:val="16"/>
              </w:numPr>
              <w:spacing w:line="276" w:lineRule="auto"/>
              <w:contextualSpacing/>
              <w:jc w:val="both"/>
              <w:rPr>
                <w:rFonts w:ascii="Calibri" w:eastAsia="Calibri" w:hAnsi="Calibri"/>
                <w:sz w:val="24"/>
              </w:rPr>
            </w:pPr>
            <w:r w:rsidRPr="00E02A67">
              <w:rPr>
                <w:rFonts w:ascii="Calibri" w:eastAsia="Calibri" w:hAnsi="Calibri"/>
                <w:sz w:val="24"/>
              </w:rPr>
              <w:t>Inclure éventuellement des formations spécifiques sur l</w:t>
            </w:r>
            <w:r>
              <w:rPr>
                <w:rFonts w:ascii="Calibri" w:eastAsia="Calibri" w:hAnsi="Calibri"/>
                <w:sz w:val="24"/>
              </w:rPr>
              <w:t xml:space="preserve">a détresse psychologique </w:t>
            </w:r>
            <w:r w:rsidRPr="00E02A67">
              <w:rPr>
                <w:rFonts w:ascii="Calibri" w:eastAsia="Calibri" w:hAnsi="Calibri"/>
                <w:sz w:val="24"/>
              </w:rPr>
              <w:t>lié</w:t>
            </w:r>
            <w:r>
              <w:rPr>
                <w:rFonts w:ascii="Calibri" w:eastAsia="Calibri" w:hAnsi="Calibri"/>
                <w:sz w:val="24"/>
              </w:rPr>
              <w:t>e</w:t>
            </w:r>
            <w:r w:rsidRPr="00E02A67">
              <w:rPr>
                <w:rFonts w:ascii="Calibri" w:eastAsia="Calibri" w:hAnsi="Calibri"/>
                <w:sz w:val="24"/>
              </w:rPr>
              <w:t xml:space="preserve"> à la migration et au stress de la réintégration.</w:t>
            </w:r>
          </w:p>
          <w:p w14:paraId="6E02D13B" w14:textId="77777777" w:rsidR="007645EC" w:rsidRPr="00E02A67" w:rsidRDefault="007645EC" w:rsidP="007645EC">
            <w:pPr>
              <w:spacing w:line="276" w:lineRule="auto"/>
              <w:contextualSpacing/>
              <w:jc w:val="both"/>
              <w:rPr>
                <w:rFonts w:ascii="Calibri" w:eastAsia="Calibri" w:hAnsi="Calibri"/>
                <w:sz w:val="24"/>
              </w:rPr>
            </w:pPr>
            <w:r w:rsidRPr="00E02A67">
              <w:rPr>
                <w:rFonts w:ascii="Calibri" w:eastAsia="Calibri" w:hAnsi="Calibri"/>
                <w:b/>
                <w:bCs/>
                <w:sz w:val="24"/>
              </w:rPr>
              <w:t>Engagement communautaire et sensibilisation</w:t>
            </w:r>
          </w:p>
          <w:p w14:paraId="7D21B187" w14:textId="0AAFCB1D" w:rsidR="007645EC" w:rsidRPr="00E02A67" w:rsidRDefault="007645EC" w:rsidP="00ED24B6">
            <w:pPr>
              <w:widowControl/>
              <w:numPr>
                <w:ilvl w:val="0"/>
                <w:numId w:val="17"/>
              </w:numPr>
              <w:spacing w:line="276" w:lineRule="auto"/>
              <w:contextualSpacing/>
              <w:jc w:val="both"/>
              <w:rPr>
                <w:rFonts w:ascii="Calibri" w:eastAsia="Calibri" w:hAnsi="Calibri"/>
                <w:sz w:val="24"/>
              </w:rPr>
            </w:pPr>
            <w:r w:rsidRPr="00E02A67">
              <w:rPr>
                <w:rFonts w:ascii="Calibri" w:eastAsia="Calibri" w:hAnsi="Calibri"/>
                <w:sz w:val="24"/>
              </w:rPr>
              <w:t xml:space="preserve">Mobiliser les communautés pour sensibiliser aux besoins </w:t>
            </w:r>
            <w:r w:rsidR="00C25F98">
              <w:rPr>
                <w:rFonts w:ascii="Calibri" w:eastAsia="Calibri" w:hAnsi="Calibri"/>
                <w:sz w:val="24"/>
              </w:rPr>
              <w:t>SMSPS</w:t>
            </w:r>
            <w:r w:rsidRPr="00E02A67">
              <w:rPr>
                <w:rFonts w:ascii="Calibri" w:eastAsia="Calibri" w:hAnsi="Calibri"/>
                <w:sz w:val="24"/>
              </w:rPr>
              <w:t xml:space="preserve"> et réduire la stigmatisation autour de la santé mentale.</w:t>
            </w:r>
          </w:p>
          <w:p w14:paraId="71405EF7" w14:textId="21B6E84B" w:rsidR="007645EC" w:rsidRPr="007645EC" w:rsidRDefault="007645EC" w:rsidP="00ED24B6">
            <w:pPr>
              <w:widowControl/>
              <w:numPr>
                <w:ilvl w:val="0"/>
                <w:numId w:val="17"/>
              </w:numPr>
              <w:spacing w:line="276" w:lineRule="auto"/>
              <w:contextualSpacing/>
              <w:jc w:val="both"/>
              <w:rPr>
                <w:rFonts w:ascii="Calibri" w:eastAsia="Calibri" w:hAnsi="Calibri"/>
                <w:sz w:val="24"/>
              </w:rPr>
            </w:pPr>
            <w:r w:rsidRPr="00E02A67">
              <w:rPr>
                <w:rFonts w:ascii="Calibri" w:eastAsia="Calibri" w:hAnsi="Calibri"/>
                <w:sz w:val="24"/>
              </w:rPr>
              <w:t>Mettre en place des groupes de soutien par les pairs ou des espaces sécurisés</w:t>
            </w:r>
            <w:r>
              <w:rPr>
                <w:rFonts w:ascii="Calibri" w:eastAsia="Calibri" w:hAnsi="Calibri"/>
                <w:sz w:val="24"/>
              </w:rPr>
              <w:t xml:space="preserve"> comme à travers</w:t>
            </w:r>
            <w:r w:rsidRPr="00A96E41">
              <w:rPr>
                <w:rFonts w:ascii="Calibri" w:eastAsia="Calibri" w:hAnsi="Calibri"/>
                <w:sz w:val="24"/>
              </w:rPr>
              <w:t xml:space="preserve"> de</w:t>
            </w:r>
            <w:r>
              <w:rPr>
                <w:rFonts w:ascii="Calibri" w:eastAsia="Calibri" w:hAnsi="Calibri"/>
                <w:sz w:val="24"/>
              </w:rPr>
              <w:t xml:space="preserve">s </w:t>
            </w:r>
            <w:r w:rsidRPr="00A96E41">
              <w:rPr>
                <w:rFonts w:ascii="Calibri" w:eastAsia="Calibri" w:hAnsi="Calibri"/>
                <w:sz w:val="24"/>
              </w:rPr>
              <w:t>mentors</w:t>
            </w:r>
          </w:p>
          <w:p w14:paraId="4D881C25" w14:textId="77777777" w:rsidR="007645EC" w:rsidRPr="00E02A67" w:rsidRDefault="007645EC" w:rsidP="007645EC">
            <w:pPr>
              <w:spacing w:line="276" w:lineRule="auto"/>
              <w:contextualSpacing/>
              <w:jc w:val="both"/>
              <w:rPr>
                <w:rFonts w:ascii="Calibri" w:eastAsia="Calibri" w:hAnsi="Calibri"/>
                <w:sz w:val="24"/>
              </w:rPr>
            </w:pPr>
            <w:r w:rsidRPr="00E02A67">
              <w:rPr>
                <w:rFonts w:ascii="Calibri" w:eastAsia="Calibri" w:hAnsi="Calibri"/>
                <w:b/>
                <w:bCs/>
                <w:sz w:val="24"/>
              </w:rPr>
              <w:t>Coordination et collaboration</w:t>
            </w:r>
          </w:p>
          <w:p w14:paraId="79AC9F5D" w14:textId="77777777" w:rsidR="007645EC" w:rsidRPr="00E02A67" w:rsidRDefault="007645EC" w:rsidP="00ED24B6">
            <w:pPr>
              <w:widowControl/>
              <w:numPr>
                <w:ilvl w:val="0"/>
                <w:numId w:val="18"/>
              </w:numPr>
              <w:spacing w:line="276" w:lineRule="auto"/>
              <w:contextualSpacing/>
              <w:jc w:val="both"/>
              <w:rPr>
                <w:rFonts w:ascii="Calibri" w:eastAsia="Calibri" w:hAnsi="Calibri"/>
                <w:sz w:val="24"/>
              </w:rPr>
            </w:pPr>
            <w:r w:rsidRPr="00E02A67">
              <w:rPr>
                <w:rFonts w:ascii="Calibri" w:eastAsia="Calibri" w:hAnsi="Calibri"/>
                <w:sz w:val="24"/>
              </w:rPr>
              <w:t>Travailler en étroite collaboration avec l’OIM, les autres acteurs humanitaires, les autorités locales et les services de santé/psychosociaux existants.</w:t>
            </w:r>
          </w:p>
          <w:p w14:paraId="6E6AB083" w14:textId="77777777" w:rsidR="007645EC" w:rsidRPr="00E02A67" w:rsidRDefault="007645EC" w:rsidP="00ED24B6">
            <w:pPr>
              <w:widowControl/>
              <w:numPr>
                <w:ilvl w:val="0"/>
                <w:numId w:val="18"/>
              </w:numPr>
              <w:spacing w:line="276" w:lineRule="auto"/>
              <w:contextualSpacing/>
              <w:jc w:val="both"/>
              <w:rPr>
                <w:rFonts w:ascii="Calibri" w:eastAsia="Calibri" w:hAnsi="Calibri"/>
                <w:sz w:val="24"/>
              </w:rPr>
            </w:pPr>
            <w:r w:rsidRPr="00E02A67">
              <w:rPr>
                <w:rFonts w:ascii="Calibri" w:eastAsia="Calibri" w:hAnsi="Calibri"/>
                <w:sz w:val="24"/>
              </w:rPr>
              <w:t>Participer aux mécanismes de coordination et aux réseaux de référence.</w:t>
            </w:r>
          </w:p>
          <w:p w14:paraId="0E028A01" w14:textId="77777777" w:rsidR="007645EC" w:rsidRPr="00E02A67" w:rsidRDefault="007645EC" w:rsidP="007645EC">
            <w:pPr>
              <w:spacing w:line="276" w:lineRule="auto"/>
              <w:contextualSpacing/>
              <w:jc w:val="both"/>
              <w:rPr>
                <w:rFonts w:ascii="Calibri" w:eastAsia="Calibri" w:hAnsi="Calibri"/>
                <w:sz w:val="24"/>
              </w:rPr>
            </w:pPr>
            <w:r w:rsidRPr="00E02A67">
              <w:rPr>
                <w:rFonts w:ascii="Calibri" w:eastAsia="Calibri" w:hAnsi="Calibri"/>
                <w:b/>
                <w:bCs/>
                <w:sz w:val="24"/>
              </w:rPr>
              <w:t>Suivi, évaluation, redevabilité et apprentissage (MEAL)</w:t>
            </w:r>
          </w:p>
          <w:p w14:paraId="1274F7F2" w14:textId="56799436" w:rsidR="007645EC" w:rsidRPr="00E02A67" w:rsidRDefault="007645EC" w:rsidP="00ED24B6">
            <w:pPr>
              <w:widowControl/>
              <w:numPr>
                <w:ilvl w:val="0"/>
                <w:numId w:val="19"/>
              </w:numPr>
              <w:spacing w:line="276" w:lineRule="auto"/>
              <w:contextualSpacing/>
              <w:jc w:val="both"/>
              <w:rPr>
                <w:rFonts w:ascii="Calibri" w:eastAsia="Calibri" w:hAnsi="Calibri"/>
                <w:sz w:val="24"/>
              </w:rPr>
            </w:pPr>
            <w:r w:rsidRPr="00E02A67">
              <w:rPr>
                <w:rFonts w:ascii="Calibri" w:eastAsia="Calibri" w:hAnsi="Calibri"/>
                <w:sz w:val="24"/>
              </w:rPr>
              <w:t>Mettre en place des mécanismes pour suivre les bénéficiaires, mesurer les résultats et adapter les interventions si nécessaire.</w:t>
            </w:r>
            <w:r>
              <w:rPr>
                <w:rFonts w:ascii="Calibri" w:eastAsia="Calibri" w:hAnsi="Calibri"/>
                <w:sz w:val="24"/>
              </w:rPr>
              <w:t xml:space="preserve"> Les o</w:t>
            </w:r>
            <w:r w:rsidRPr="00741647">
              <w:rPr>
                <w:rFonts w:ascii="Calibri" w:eastAsia="Calibri" w:hAnsi="Calibri"/>
                <w:sz w:val="24"/>
              </w:rPr>
              <w:t xml:space="preserve">utils à </w:t>
            </w:r>
            <w:r w:rsidR="00DB34EA">
              <w:rPr>
                <w:rFonts w:ascii="Calibri" w:eastAsia="Calibri" w:hAnsi="Calibri"/>
                <w:sz w:val="24"/>
              </w:rPr>
              <w:t>être</w:t>
            </w:r>
            <w:r>
              <w:rPr>
                <w:rFonts w:ascii="Calibri" w:eastAsia="Calibri" w:hAnsi="Calibri"/>
                <w:sz w:val="24"/>
              </w:rPr>
              <w:t xml:space="preserve"> </w:t>
            </w:r>
            <w:r w:rsidRPr="00741647">
              <w:rPr>
                <w:rFonts w:ascii="Calibri" w:eastAsia="Calibri" w:hAnsi="Calibri"/>
                <w:sz w:val="24"/>
              </w:rPr>
              <w:t>valider par l’OIM</w:t>
            </w:r>
          </w:p>
          <w:p w14:paraId="2C58BF81" w14:textId="77777777" w:rsidR="007645EC" w:rsidRDefault="007645EC" w:rsidP="00ED24B6">
            <w:pPr>
              <w:widowControl/>
              <w:numPr>
                <w:ilvl w:val="0"/>
                <w:numId w:val="19"/>
              </w:numPr>
              <w:spacing w:line="276" w:lineRule="auto"/>
              <w:contextualSpacing/>
              <w:jc w:val="both"/>
              <w:rPr>
                <w:rFonts w:ascii="Calibri" w:eastAsia="Calibri" w:hAnsi="Calibri"/>
                <w:sz w:val="24"/>
              </w:rPr>
            </w:pPr>
            <w:r w:rsidRPr="00E02A67">
              <w:rPr>
                <w:rFonts w:ascii="Calibri" w:eastAsia="Calibri" w:hAnsi="Calibri"/>
                <w:sz w:val="24"/>
              </w:rPr>
              <w:t>Assurer la présence de mécanismes de retour d’information et de traitement des plaintes.</w:t>
            </w:r>
          </w:p>
          <w:p w14:paraId="11EAD442" w14:textId="57B07745" w:rsidR="007645EC" w:rsidRPr="007645EC" w:rsidRDefault="007645EC" w:rsidP="00ED24B6">
            <w:pPr>
              <w:widowControl/>
              <w:numPr>
                <w:ilvl w:val="0"/>
                <w:numId w:val="19"/>
              </w:numPr>
              <w:spacing w:line="276" w:lineRule="auto"/>
              <w:contextualSpacing/>
              <w:jc w:val="both"/>
              <w:rPr>
                <w:rFonts w:ascii="Calibri" w:eastAsia="Calibri" w:hAnsi="Calibri"/>
                <w:sz w:val="24"/>
              </w:rPr>
            </w:pPr>
            <w:r>
              <w:rPr>
                <w:rFonts w:ascii="Calibri" w:eastAsia="Calibri" w:hAnsi="Calibri"/>
                <w:sz w:val="24"/>
              </w:rPr>
              <w:t>F</w:t>
            </w:r>
            <w:r w:rsidRPr="00AC7C85">
              <w:rPr>
                <w:rFonts w:ascii="Calibri" w:eastAsia="Calibri" w:hAnsi="Calibri"/>
                <w:sz w:val="24"/>
              </w:rPr>
              <w:t>ournir à l’OIM un rapport intérimaire et un rapport final narratif et financiers. Les rapports descriptifs devront rendre compte des activités réalisées et des résultats obtenus lors de la période considérée</w:t>
            </w:r>
            <w:r>
              <w:rPr>
                <w:rFonts w:ascii="Calibri" w:eastAsia="Calibri" w:hAnsi="Calibri"/>
                <w:sz w:val="24"/>
              </w:rPr>
              <w:t xml:space="preserve"> selon le contrat qui sera établit</w:t>
            </w:r>
            <w:r w:rsidRPr="00AC7C85">
              <w:rPr>
                <w:rFonts w:ascii="Calibri" w:eastAsia="Calibri" w:hAnsi="Calibri"/>
                <w:sz w:val="24"/>
              </w:rPr>
              <w:t>. Ils devront être analytiques, présenter les difficultés et les points faibles, et proposer des solutions. Le rapport descriptif final devra résumer l’ensemble des activités et indiquer dans quelle mesure les objectifs ont été atteints. Les rapports financiers devront rendre compte de l’utilisation qui a été faite de la contribution de l’OIM au cours de la période considérée</w:t>
            </w:r>
            <w:r>
              <w:rPr>
                <w:rFonts w:ascii="Calibri" w:eastAsia="Calibri" w:hAnsi="Calibri"/>
                <w:sz w:val="24"/>
              </w:rPr>
              <w:t xml:space="preserve"> selon le contrat</w:t>
            </w:r>
            <w:r w:rsidRPr="00D270BC">
              <w:rPr>
                <w:rFonts w:ascii="Calibri" w:eastAsia="Calibri" w:hAnsi="Calibri"/>
                <w:sz w:val="24"/>
              </w:rPr>
              <w:t xml:space="preserve"> </w:t>
            </w:r>
            <w:r>
              <w:rPr>
                <w:rFonts w:ascii="Calibri" w:eastAsia="Calibri" w:hAnsi="Calibri"/>
                <w:sz w:val="24"/>
              </w:rPr>
              <w:t>qui sera établit</w:t>
            </w:r>
            <w:r w:rsidRPr="00AC7C85">
              <w:rPr>
                <w:rFonts w:ascii="Calibri" w:eastAsia="Calibri" w:hAnsi="Calibri"/>
                <w:sz w:val="24"/>
              </w:rPr>
              <w:t xml:space="preserve">. </w:t>
            </w:r>
          </w:p>
          <w:p w14:paraId="78DDAB09" w14:textId="77777777" w:rsidR="007645EC" w:rsidRPr="00E02A67" w:rsidRDefault="007645EC" w:rsidP="007645EC">
            <w:pPr>
              <w:spacing w:line="276" w:lineRule="auto"/>
              <w:contextualSpacing/>
              <w:jc w:val="both"/>
              <w:rPr>
                <w:rFonts w:ascii="Calibri" w:eastAsia="Calibri" w:hAnsi="Calibri"/>
                <w:sz w:val="24"/>
              </w:rPr>
            </w:pPr>
            <w:r w:rsidRPr="00E02A67">
              <w:rPr>
                <w:rFonts w:ascii="Calibri" w:eastAsia="Calibri" w:hAnsi="Calibri"/>
                <w:b/>
                <w:bCs/>
                <w:sz w:val="24"/>
              </w:rPr>
              <w:t>Lien avec la protection et les références</w:t>
            </w:r>
          </w:p>
          <w:p w14:paraId="6AF767E9" w14:textId="77777777" w:rsidR="007645EC" w:rsidRPr="00E02A67" w:rsidRDefault="007645EC" w:rsidP="00ED24B6">
            <w:pPr>
              <w:widowControl/>
              <w:numPr>
                <w:ilvl w:val="0"/>
                <w:numId w:val="20"/>
              </w:numPr>
              <w:spacing w:line="276" w:lineRule="auto"/>
              <w:contextualSpacing/>
              <w:jc w:val="both"/>
              <w:rPr>
                <w:rFonts w:ascii="Calibri" w:eastAsia="Calibri" w:hAnsi="Calibri"/>
                <w:sz w:val="24"/>
              </w:rPr>
            </w:pPr>
            <w:r w:rsidRPr="00E02A67">
              <w:rPr>
                <w:rFonts w:ascii="Calibri" w:eastAsia="Calibri" w:hAnsi="Calibri"/>
                <w:sz w:val="24"/>
              </w:rPr>
              <w:t>Identifier et orienter les personnes nécessitant des services spécialisés en santé mentale ou protection.</w:t>
            </w:r>
          </w:p>
          <w:p w14:paraId="305A485C" w14:textId="77777777" w:rsidR="007645EC" w:rsidRPr="00E02A67" w:rsidRDefault="007645EC" w:rsidP="00ED24B6">
            <w:pPr>
              <w:widowControl/>
              <w:numPr>
                <w:ilvl w:val="0"/>
                <w:numId w:val="20"/>
              </w:numPr>
              <w:spacing w:line="276" w:lineRule="auto"/>
              <w:contextualSpacing/>
              <w:jc w:val="both"/>
              <w:rPr>
                <w:rFonts w:ascii="Calibri" w:eastAsia="Calibri" w:hAnsi="Calibri"/>
                <w:sz w:val="24"/>
              </w:rPr>
            </w:pPr>
            <w:r w:rsidRPr="00E02A67">
              <w:rPr>
                <w:rFonts w:ascii="Calibri" w:eastAsia="Calibri" w:hAnsi="Calibri"/>
                <w:sz w:val="24"/>
              </w:rPr>
              <w:t>Soutenir l’intégration avec les services de protection et sociaux.</w:t>
            </w:r>
          </w:p>
          <w:p w14:paraId="1296CEDC" w14:textId="77777777" w:rsidR="007645EC" w:rsidRPr="00E02A67" w:rsidRDefault="007645EC" w:rsidP="007645EC">
            <w:pPr>
              <w:spacing w:line="276" w:lineRule="auto"/>
              <w:contextualSpacing/>
              <w:jc w:val="both"/>
              <w:rPr>
                <w:rFonts w:ascii="Calibri" w:eastAsia="Calibri" w:hAnsi="Calibri"/>
                <w:sz w:val="24"/>
              </w:rPr>
            </w:pPr>
            <w:r w:rsidRPr="00E02A67">
              <w:rPr>
                <w:rFonts w:ascii="Calibri" w:eastAsia="Calibri" w:hAnsi="Calibri"/>
                <w:b/>
                <w:bCs/>
                <w:sz w:val="24"/>
              </w:rPr>
              <w:t>Pratiques éthiques et confidentialité</w:t>
            </w:r>
          </w:p>
          <w:p w14:paraId="3E8A94CE" w14:textId="77777777" w:rsidR="007645EC" w:rsidRPr="00E02A67" w:rsidRDefault="007645EC" w:rsidP="00ED24B6">
            <w:pPr>
              <w:widowControl/>
              <w:numPr>
                <w:ilvl w:val="0"/>
                <w:numId w:val="21"/>
              </w:numPr>
              <w:spacing w:line="276" w:lineRule="auto"/>
              <w:contextualSpacing/>
              <w:jc w:val="both"/>
              <w:rPr>
                <w:rFonts w:ascii="Calibri" w:eastAsia="Calibri" w:hAnsi="Calibri"/>
                <w:sz w:val="24"/>
              </w:rPr>
            </w:pPr>
            <w:r w:rsidRPr="00E02A67">
              <w:rPr>
                <w:rFonts w:ascii="Calibri" w:eastAsia="Calibri" w:hAnsi="Calibri"/>
                <w:sz w:val="24"/>
              </w:rPr>
              <w:t>Garantir la confidentialité, le consentement éclairé et le principe de ne pas nuire.</w:t>
            </w:r>
          </w:p>
          <w:p w14:paraId="15717233" w14:textId="4AB0E04A" w:rsidR="00A65006" w:rsidRPr="009E740B" w:rsidRDefault="007645EC" w:rsidP="00ED24B6">
            <w:pPr>
              <w:widowControl/>
              <w:numPr>
                <w:ilvl w:val="0"/>
                <w:numId w:val="22"/>
              </w:numPr>
              <w:spacing w:line="276" w:lineRule="auto"/>
              <w:contextualSpacing/>
              <w:jc w:val="both"/>
              <w:rPr>
                <w:rFonts w:ascii="Calibri" w:eastAsia="Calibri" w:hAnsi="Calibri"/>
                <w:sz w:val="24"/>
              </w:rPr>
            </w:pPr>
            <w:r w:rsidRPr="00E02A67">
              <w:rPr>
                <w:rFonts w:ascii="Calibri" w:eastAsia="Calibri" w:hAnsi="Calibri"/>
                <w:sz w:val="24"/>
              </w:rPr>
              <w:t>Prise en compte de la stigmatisation sociale liée aux personnes de retour et de la discrimination possible</w:t>
            </w:r>
            <w:r>
              <w:rPr>
                <w:rFonts w:ascii="Calibri" w:eastAsia="Calibri" w:hAnsi="Calibri"/>
                <w:sz w:val="24"/>
              </w:rPr>
              <w:t xml:space="preserve"> en r</w:t>
            </w:r>
            <w:r w:rsidRPr="00A96E41">
              <w:rPr>
                <w:rFonts w:ascii="Calibri" w:eastAsia="Calibri" w:hAnsi="Calibri"/>
                <w:sz w:val="24"/>
              </w:rPr>
              <w:t>espect</w:t>
            </w:r>
            <w:r>
              <w:rPr>
                <w:rFonts w:ascii="Calibri" w:eastAsia="Calibri" w:hAnsi="Calibri"/>
                <w:sz w:val="24"/>
              </w:rPr>
              <w:t>ant</w:t>
            </w:r>
            <w:r w:rsidRPr="00A96E41">
              <w:rPr>
                <w:rFonts w:ascii="Calibri" w:eastAsia="Calibri" w:hAnsi="Calibri"/>
                <w:sz w:val="24"/>
              </w:rPr>
              <w:t xml:space="preserve"> la protection des données</w:t>
            </w:r>
          </w:p>
        </w:tc>
      </w:tr>
      <w:tr w:rsidR="00A65006" w14:paraId="3078EA6C" w14:textId="77777777" w:rsidTr="085D548D">
        <w:trPr>
          <w:trHeight w:val="15"/>
          <w:jc w:val="center"/>
        </w:trPr>
        <w:tc>
          <w:tcPr>
            <w:tcW w:w="9015" w:type="dxa"/>
            <w:tcBorders>
              <w:top w:val="single" w:sz="8" w:space="0" w:color="auto"/>
              <w:left w:val="single" w:sz="8" w:space="0" w:color="auto"/>
              <w:bottom w:val="single" w:sz="8" w:space="0" w:color="auto"/>
              <w:right w:val="single" w:sz="8" w:space="0" w:color="auto"/>
            </w:tcBorders>
          </w:tcPr>
          <w:p w14:paraId="24DE9678" w14:textId="58C0C0C9" w:rsidR="00A65006" w:rsidRDefault="00A65006" w:rsidP="00A65006">
            <w:pPr>
              <w:spacing w:after="120"/>
              <w:rPr>
                <w:rFonts w:eastAsiaTheme="minorEastAsia"/>
              </w:rPr>
            </w:pPr>
            <w:r>
              <w:lastRenderedPageBreak/>
              <w:t>Impact</w:t>
            </w:r>
          </w:p>
        </w:tc>
      </w:tr>
      <w:tr w:rsidR="00A65006" w14:paraId="1859A83B" w14:textId="77777777" w:rsidTr="085D548D">
        <w:trPr>
          <w:trHeight w:val="570"/>
          <w:jc w:val="center"/>
        </w:trPr>
        <w:tc>
          <w:tcPr>
            <w:tcW w:w="9015" w:type="dxa"/>
            <w:tcBorders>
              <w:top w:val="single" w:sz="8" w:space="0" w:color="auto"/>
              <w:left w:val="single" w:sz="8" w:space="0" w:color="auto"/>
              <w:bottom w:val="single" w:sz="8" w:space="0" w:color="auto"/>
              <w:right w:val="single" w:sz="8" w:space="0" w:color="auto"/>
            </w:tcBorders>
          </w:tcPr>
          <w:p w14:paraId="4CE395C9" w14:textId="77777777" w:rsidR="009E740B" w:rsidRPr="00BE7865" w:rsidRDefault="00A65006" w:rsidP="009E740B">
            <w:pPr>
              <w:spacing w:after="120"/>
              <w:jc w:val="both"/>
              <w:rPr>
                <w:b/>
                <w:bCs/>
              </w:rPr>
            </w:pPr>
            <w:r w:rsidRPr="00BE7865">
              <w:t xml:space="preserve"> </w:t>
            </w:r>
            <w:r w:rsidR="009E740B" w:rsidRPr="00BE7865">
              <w:rPr>
                <w:b/>
                <w:bCs/>
              </w:rPr>
              <w:t>1. Impact sur la durabilité de la réintégration</w:t>
            </w:r>
          </w:p>
          <w:p w14:paraId="51F622A0" w14:textId="77777777" w:rsidR="009E740B" w:rsidRPr="00BE7865" w:rsidRDefault="009E740B" w:rsidP="00ED24B6">
            <w:pPr>
              <w:numPr>
                <w:ilvl w:val="0"/>
                <w:numId w:val="35"/>
              </w:numPr>
              <w:spacing w:after="120"/>
              <w:jc w:val="both"/>
            </w:pPr>
            <w:r w:rsidRPr="00BE7865">
              <w:rPr>
                <w:b/>
                <w:bCs/>
              </w:rPr>
              <w:t>Réduction des vulnérabilités psychosociales</w:t>
            </w:r>
            <w:r w:rsidRPr="00BE7865">
              <w:t> qui freinent la réintégration.</w:t>
            </w:r>
          </w:p>
          <w:p w14:paraId="6A9B2F76" w14:textId="77777777" w:rsidR="009E740B" w:rsidRPr="00BE7865" w:rsidRDefault="009E740B" w:rsidP="00ED24B6">
            <w:pPr>
              <w:numPr>
                <w:ilvl w:val="0"/>
                <w:numId w:val="35"/>
              </w:numPr>
              <w:spacing w:after="120"/>
              <w:jc w:val="both"/>
            </w:pPr>
            <w:r w:rsidRPr="00BE7865">
              <w:rPr>
                <w:b/>
                <w:bCs/>
              </w:rPr>
              <w:t>Stabilisation émotionnelle</w:t>
            </w:r>
            <w:r w:rsidRPr="00BE7865">
              <w:t xml:space="preserve"> favorisant l’engagement dans les volets économiques, sociaux </w:t>
            </w:r>
            <w:r w:rsidRPr="00BE7865">
              <w:lastRenderedPageBreak/>
              <w:t>et sanitaires.</w:t>
            </w:r>
          </w:p>
          <w:p w14:paraId="5E78ABD0" w14:textId="77777777" w:rsidR="009E740B" w:rsidRPr="00BE7865" w:rsidRDefault="009E740B" w:rsidP="00ED24B6">
            <w:pPr>
              <w:numPr>
                <w:ilvl w:val="0"/>
                <w:numId w:val="35"/>
              </w:numPr>
              <w:spacing w:after="120"/>
              <w:jc w:val="both"/>
            </w:pPr>
            <w:r w:rsidRPr="00BE7865">
              <w:rPr>
                <w:b/>
                <w:bCs/>
              </w:rPr>
              <w:t>Renforcement de l’autonomie</w:t>
            </w:r>
            <w:r w:rsidRPr="00BE7865">
              <w:t> des migrants de retour dans leur processus de réintégration.</w:t>
            </w:r>
          </w:p>
          <w:p w14:paraId="0C643DCC" w14:textId="77777777" w:rsidR="009E740B" w:rsidRPr="00BE7865" w:rsidRDefault="009E740B" w:rsidP="009E740B">
            <w:pPr>
              <w:spacing w:after="120"/>
              <w:jc w:val="both"/>
              <w:rPr>
                <w:rFonts w:eastAsiaTheme="minorEastAsia"/>
                <w:b/>
                <w:bCs/>
              </w:rPr>
            </w:pPr>
            <w:r w:rsidRPr="00BE7865">
              <w:rPr>
                <w:rFonts w:eastAsiaTheme="minorEastAsia"/>
                <w:b/>
                <w:bCs/>
              </w:rPr>
              <w:t>2. Impact sur l’intégration des services</w:t>
            </w:r>
          </w:p>
          <w:p w14:paraId="7CA3600C" w14:textId="77777777" w:rsidR="009E740B" w:rsidRPr="00BE7865" w:rsidRDefault="009E740B" w:rsidP="00ED24B6">
            <w:pPr>
              <w:numPr>
                <w:ilvl w:val="0"/>
                <w:numId w:val="36"/>
              </w:numPr>
              <w:spacing w:after="120"/>
              <w:jc w:val="both"/>
              <w:rPr>
                <w:rFonts w:eastAsiaTheme="minorEastAsia"/>
              </w:rPr>
            </w:pPr>
            <w:r w:rsidRPr="00BE7865">
              <w:rPr>
                <w:rFonts w:eastAsiaTheme="minorEastAsia"/>
                <w:b/>
                <w:bCs/>
              </w:rPr>
              <w:t>Approche holistique</w:t>
            </w:r>
            <w:r w:rsidRPr="00BE7865">
              <w:rPr>
                <w:rFonts w:eastAsiaTheme="minorEastAsia"/>
              </w:rPr>
              <w:t> conforme au modèle de réintégration durable de l’OIM (santé, psychosocial, économique, social).</w:t>
            </w:r>
          </w:p>
          <w:p w14:paraId="22A89B41" w14:textId="77777777" w:rsidR="009E740B" w:rsidRPr="00BE7865" w:rsidRDefault="009E740B" w:rsidP="00ED24B6">
            <w:pPr>
              <w:numPr>
                <w:ilvl w:val="0"/>
                <w:numId w:val="36"/>
              </w:numPr>
              <w:spacing w:after="120"/>
              <w:jc w:val="both"/>
              <w:rPr>
                <w:rFonts w:eastAsiaTheme="minorEastAsia"/>
              </w:rPr>
            </w:pPr>
            <w:r w:rsidRPr="00BE7865">
              <w:rPr>
                <w:rFonts w:eastAsiaTheme="minorEastAsia"/>
                <w:b/>
                <w:bCs/>
              </w:rPr>
              <w:t>Meilleure coordination intersectorielle</w:t>
            </w:r>
            <w:r w:rsidRPr="00BE7865">
              <w:rPr>
                <w:rFonts w:eastAsiaTheme="minorEastAsia"/>
              </w:rPr>
              <w:t> entre les partenaires locaux, les autorités et les services spécialisés.</w:t>
            </w:r>
          </w:p>
          <w:p w14:paraId="3958DFDC" w14:textId="77777777" w:rsidR="009E740B" w:rsidRPr="00BE7865" w:rsidRDefault="009E740B" w:rsidP="00ED24B6">
            <w:pPr>
              <w:numPr>
                <w:ilvl w:val="0"/>
                <w:numId w:val="36"/>
              </w:numPr>
              <w:spacing w:after="120"/>
              <w:jc w:val="both"/>
              <w:rPr>
                <w:rFonts w:eastAsiaTheme="minorEastAsia"/>
              </w:rPr>
            </w:pPr>
            <w:r w:rsidRPr="00BE7865">
              <w:rPr>
                <w:rFonts w:eastAsiaTheme="minorEastAsia"/>
                <w:b/>
                <w:bCs/>
              </w:rPr>
              <w:t>Optimisation des ressources</w:t>
            </w:r>
            <w:r w:rsidRPr="00BE7865">
              <w:rPr>
                <w:rFonts w:eastAsiaTheme="minorEastAsia"/>
              </w:rPr>
              <w:t> grâce à une prise en charge ciblée et efficace.</w:t>
            </w:r>
          </w:p>
          <w:p w14:paraId="4DC65B3A" w14:textId="77777777" w:rsidR="009E740B" w:rsidRPr="00BE7865" w:rsidRDefault="009E740B" w:rsidP="009E740B">
            <w:pPr>
              <w:spacing w:after="120"/>
              <w:jc w:val="both"/>
              <w:rPr>
                <w:rFonts w:eastAsiaTheme="minorEastAsia"/>
                <w:b/>
                <w:bCs/>
              </w:rPr>
            </w:pPr>
            <w:r w:rsidRPr="00BE7865">
              <w:rPr>
                <w:rFonts w:eastAsiaTheme="minorEastAsia"/>
                <w:b/>
                <w:bCs/>
              </w:rPr>
              <w:t>3. Impact sur les résultats du projet</w:t>
            </w:r>
          </w:p>
          <w:p w14:paraId="4DA68F92" w14:textId="77777777" w:rsidR="009E740B" w:rsidRPr="00BE7865" w:rsidRDefault="009E740B" w:rsidP="00ED24B6">
            <w:pPr>
              <w:numPr>
                <w:ilvl w:val="0"/>
                <w:numId w:val="37"/>
              </w:numPr>
              <w:spacing w:after="120"/>
              <w:jc w:val="both"/>
              <w:rPr>
                <w:rFonts w:eastAsiaTheme="minorEastAsia"/>
              </w:rPr>
            </w:pPr>
            <w:r w:rsidRPr="00BE7865">
              <w:rPr>
                <w:rFonts w:eastAsiaTheme="minorEastAsia"/>
                <w:b/>
                <w:bCs/>
              </w:rPr>
              <w:t>Hausse du taux de réussite des parcours de réintégration</w:t>
            </w:r>
            <w:r w:rsidRPr="00BE7865">
              <w:rPr>
                <w:rFonts w:eastAsiaTheme="minorEastAsia"/>
              </w:rPr>
              <w:t> (moins de rechutes, plus de stabilité).</w:t>
            </w:r>
          </w:p>
          <w:p w14:paraId="09DEA32B" w14:textId="77777777" w:rsidR="009E740B" w:rsidRPr="00BE7865" w:rsidRDefault="009E740B" w:rsidP="00ED24B6">
            <w:pPr>
              <w:numPr>
                <w:ilvl w:val="0"/>
                <w:numId w:val="37"/>
              </w:numPr>
              <w:spacing w:after="120"/>
              <w:jc w:val="both"/>
              <w:rPr>
                <w:rFonts w:eastAsiaTheme="minorEastAsia"/>
              </w:rPr>
            </w:pPr>
            <w:r w:rsidRPr="00BE7865">
              <w:rPr>
                <w:rFonts w:eastAsiaTheme="minorEastAsia"/>
                <w:b/>
                <w:bCs/>
              </w:rPr>
              <w:t>Amélioration des indicateurs de performance</w:t>
            </w:r>
            <w:r w:rsidRPr="00BE7865">
              <w:rPr>
                <w:rFonts w:eastAsiaTheme="minorEastAsia"/>
              </w:rPr>
              <w:t> exigés par l’OIM et les bailleurs (satisfaction, inclusion, autonomie).</w:t>
            </w:r>
          </w:p>
          <w:p w14:paraId="3D2654E7" w14:textId="77777777" w:rsidR="009E740B" w:rsidRPr="00BE7865" w:rsidRDefault="009E740B" w:rsidP="00ED24B6">
            <w:pPr>
              <w:numPr>
                <w:ilvl w:val="0"/>
                <w:numId w:val="37"/>
              </w:numPr>
              <w:spacing w:after="120"/>
              <w:jc w:val="both"/>
              <w:rPr>
                <w:rFonts w:eastAsiaTheme="minorEastAsia"/>
              </w:rPr>
            </w:pPr>
            <w:r w:rsidRPr="00BE7865">
              <w:rPr>
                <w:rFonts w:eastAsiaTheme="minorEastAsia"/>
                <w:b/>
                <w:bCs/>
              </w:rPr>
              <w:t>Réduction du taux de re-migration irrégulière</w:t>
            </w:r>
            <w:r w:rsidRPr="00BE7865">
              <w:rPr>
                <w:rFonts w:eastAsiaTheme="minorEastAsia"/>
              </w:rPr>
              <w:t>, indicateur clé pour les programmes de retour volontaire assisté.</w:t>
            </w:r>
          </w:p>
          <w:p w14:paraId="4F3A8DCA" w14:textId="77777777" w:rsidR="009E740B" w:rsidRPr="00BE7865" w:rsidRDefault="009E740B" w:rsidP="009E740B">
            <w:pPr>
              <w:spacing w:after="120"/>
              <w:jc w:val="both"/>
              <w:rPr>
                <w:rFonts w:eastAsiaTheme="minorEastAsia"/>
                <w:b/>
                <w:bCs/>
              </w:rPr>
            </w:pPr>
            <w:r w:rsidRPr="00BE7865">
              <w:rPr>
                <w:rFonts w:eastAsiaTheme="minorEastAsia"/>
                <w:b/>
                <w:bCs/>
              </w:rPr>
              <w:t>4. Impact sur la relation avec les communautés</w:t>
            </w:r>
          </w:p>
          <w:p w14:paraId="145E711A" w14:textId="77777777" w:rsidR="009E740B" w:rsidRPr="00BE7865" w:rsidRDefault="009E740B" w:rsidP="00ED24B6">
            <w:pPr>
              <w:numPr>
                <w:ilvl w:val="0"/>
                <w:numId w:val="38"/>
              </w:numPr>
              <w:spacing w:after="120"/>
              <w:jc w:val="both"/>
              <w:rPr>
                <w:rFonts w:eastAsiaTheme="minorEastAsia"/>
              </w:rPr>
            </w:pPr>
            <w:r w:rsidRPr="00BE7865">
              <w:rPr>
                <w:rFonts w:eastAsiaTheme="minorEastAsia"/>
                <w:b/>
                <w:bCs/>
              </w:rPr>
              <w:t>Renforcement de la cohésion sociale</w:t>
            </w:r>
            <w:r w:rsidRPr="00BE7865">
              <w:rPr>
                <w:rFonts w:eastAsiaTheme="minorEastAsia"/>
              </w:rPr>
              <w:t> entre migrants de retour et communautés d’accueil.</w:t>
            </w:r>
          </w:p>
          <w:p w14:paraId="0625A972" w14:textId="77777777" w:rsidR="009E740B" w:rsidRPr="00BE7865" w:rsidRDefault="009E740B" w:rsidP="00ED24B6">
            <w:pPr>
              <w:numPr>
                <w:ilvl w:val="0"/>
                <w:numId w:val="38"/>
              </w:numPr>
              <w:spacing w:after="120"/>
              <w:jc w:val="both"/>
              <w:rPr>
                <w:rFonts w:eastAsiaTheme="minorEastAsia"/>
              </w:rPr>
            </w:pPr>
            <w:r w:rsidRPr="00BE7865">
              <w:rPr>
                <w:rFonts w:eastAsiaTheme="minorEastAsia"/>
                <w:b/>
                <w:bCs/>
              </w:rPr>
              <w:t>Réduction de la stigmatisation</w:t>
            </w:r>
            <w:r w:rsidRPr="00BE7865">
              <w:rPr>
                <w:rFonts w:eastAsiaTheme="minorEastAsia"/>
              </w:rPr>
              <w:t> et des tensions locales.</w:t>
            </w:r>
          </w:p>
          <w:p w14:paraId="6DE23A53" w14:textId="77777777" w:rsidR="009E740B" w:rsidRPr="00BE7865" w:rsidRDefault="009E740B" w:rsidP="00ED24B6">
            <w:pPr>
              <w:numPr>
                <w:ilvl w:val="0"/>
                <w:numId w:val="38"/>
              </w:numPr>
              <w:spacing w:after="120"/>
              <w:jc w:val="both"/>
              <w:rPr>
                <w:rFonts w:eastAsiaTheme="minorEastAsia"/>
              </w:rPr>
            </w:pPr>
            <w:r w:rsidRPr="00BE7865">
              <w:rPr>
                <w:rFonts w:eastAsiaTheme="minorEastAsia"/>
                <w:b/>
                <w:bCs/>
              </w:rPr>
              <w:t>Création d’un environnement favorable à la réintégration</w:t>
            </w:r>
            <w:r w:rsidRPr="00BE7865">
              <w:rPr>
                <w:rFonts w:eastAsiaTheme="minorEastAsia"/>
              </w:rPr>
              <w:t>, soutenu par des mécanismes communautaires.</w:t>
            </w:r>
          </w:p>
          <w:p w14:paraId="774B3379" w14:textId="77777777" w:rsidR="009E740B" w:rsidRPr="00BE7865" w:rsidRDefault="009E740B" w:rsidP="009E740B">
            <w:pPr>
              <w:spacing w:after="120"/>
              <w:jc w:val="both"/>
              <w:rPr>
                <w:rFonts w:eastAsiaTheme="minorEastAsia"/>
                <w:b/>
                <w:bCs/>
              </w:rPr>
            </w:pPr>
            <w:r w:rsidRPr="00BE7865">
              <w:rPr>
                <w:rFonts w:eastAsiaTheme="minorEastAsia"/>
                <w:b/>
                <w:bCs/>
              </w:rPr>
              <w:t>5. Impact sur le partenaire de mise en œuvre</w:t>
            </w:r>
          </w:p>
          <w:p w14:paraId="1B02A62A" w14:textId="77777777" w:rsidR="009E740B" w:rsidRPr="00BE7865" w:rsidRDefault="009E740B" w:rsidP="00ED24B6">
            <w:pPr>
              <w:numPr>
                <w:ilvl w:val="0"/>
                <w:numId w:val="39"/>
              </w:numPr>
              <w:spacing w:after="120"/>
              <w:jc w:val="both"/>
              <w:rPr>
                <w:rFonts w:eastAsiaTheme="minorEastAsia"/>
              </w:rPr>
            </w:pPr>
            <w:r w:rsidRPr="00BE7865">
              <w:rPr>
                <w:rFonts w:eastAsiaTheme="minorEastAsia"/>
                <w:b/>
                <w:bCs/>
              </w:rPr>
              <w:t>Renforcement de la crédibilité et de la visibilité</w:t>
            </w:r>
            <w:r w:rsidRPr="00BE7865">
              <w:rPr>
                <w:rFonts w:eastAsiaTheme="minorEastAsia"/>
              </w:rPr>
              <w:t> auprès de l’OIM et des bailleurs.</w:t>
            </w:r>
          </w:p>
          <w:p w14:paraId="4FAD60D0" w14:textId="77777777" w:rsidR="009E740B" w:rsidRPr="00BE7865" w:rsidRDefault="009E740B" w:rsidP="00ED24B6">
            <w:pPr>
              <w:numPr>
                <w:ilvl w:val="0"/>
                <w:numId w:val="39"/>
              </w:numPr>
              <w:spacing w:after="120"/>
              <w:jc w:val="both"/>
              <w:rPr>
                <w:rFonts w:eastAsiaTheme="minorEastAsia"/>
              </w:rPr>
            </w:pPr>
            <w:r w:rsidRPr="00BE7865">
              <w:rPr>
                <w:rFonts w:eastAsiaTheme="minorEastAsia"/>
                <w:b/>
                <w:bCs/>
              </w:rPr>
              <w:t>Développement des capacités techniques</w:t>
            </w:r>
            <w:r w:rsidRPr="00BE7865">
              <w:rPr>
                <w:rFonts w:eastAsiaTheme="minorEastAsia"/>
              </w:rPr>
              <w:t> en matière de soutien psychosocial.</w:t>
            </w:r>
          </w:p>
          <w:p w14:paraId="43B06A44" w14:textId="6FC135B3" w:rsidR="00A65006" w:rsidRPr="00BE7865" w:rsidRDefault="009E740B" w:rsidP="00ED24B6">
            <w:pPr>
              <w:numPr>
                <w:ilvl w:val="0"/>
                <w:numId w:val="39"/>
              </w:numPr>
              <w:spacing w:after="120"/>
              <w:jc w:val="both"/>
              <w:rPr>
                <w:rFonts w:eastAsiaTheme="minorEastAsia"/>
              </w:rPr>
            </w:pPr>
            <w:r w:rsidRPr="00BE7865">
              <w:rPr>
                <w:rFonts w:eastAsiaTheme="minorEastAsia"/>
                <w:b/>
                <w:bCs/>
              </w:rPr>
              <w:t>Positionnement stratégique</w:t>
            </w:r>
            <w:r w:rsidRPr="00BE7865">
              <w:rPr>
                <w:rFonts w:eastAsiaTheme="minorEastAsia"/>
              </w:rPr>
              <w:t> pour la mise en œuvre de futurs projets de migration et développement.</w:t>
            </w:r>
          </w:p>
        </w:tc>
      </w:tr>
      <w:tr w:rsidR="00A65006" w14:paraId="0BE7C448"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18C22B09" w14:textId="50B3A014" w:rsidR="00A65006" w:rsidRDefault="00A65006" w:rsidP="00A65006">
            <w:pPr>
              <w:spacing w:after="120"/>
              <w:rPr>
                <w:rFonts w:eastAsiaTheme="minorEastAsia"/>
              </w:rPr>
            </w:pPr>
            <w:r>
              <w:lastRenderedPageBreak/>
              <w:t>Partenariats et collaboration</w:t>
            </w:r>
          </w:p>
        </w:tc>
      </w:tr>
      <w:tr w:rsidR="00010CC1" w14:paraId="28239677" w14:textId="77777777" w:rsidTr="085D548D">
        <w:trPr>
          <w:trHeight w:val="375"/>
          <w:jc w:val="center"/>
        </w:trPr>
        <w:tc>
          <w:tcPr>
            <w:tcW w:w="9015" w:type="dxa"/>
            <w:tcBorders>
              <w:top w:val="single" w:sz="8" w:space="0" w:color="auto"/>
              <w:left w:val="single" w:sz="8" w:space="0" w:color="auto"/>
              <w:bottom w:val="single" w:sz="8" w:space="0" w:color="auto"/>
              <w:right w:val="single" w:sz="8" w:space="0" w:color="auto"/>
            </w:tcBorders>
          </w:tcPr>
          <w:p w14:paraId="451F4852" w14:textId="77777777" w:rsidR="00AA474F" w:rsidRPr="009F73AA" w:rsidRDefault="00AA474F" w:rsidP="00AA474F">
            <w:pPr>
              <w:spacing w:after="120"/>
              <w:rPr>
                <w:rFonts w:eastAsiaTheme="minorEastAsia"/>
                <w:b/>
                <w:bCs/>
              </w:rPr>
            </w:pPr>
            <w:r w:rsidRPr="009F73AA">
              <w:rPr>
                <w:rFonts w:eastAsiaTheme="minorEastAsia"/>
                <w:b/>
                <w:bCs/>
              </w:rPr>
              <w:t>1. Partenariats institutionnels</w:t>
            </w:r>
          </w:p>
          <w:p w14:paraId="5C26384C" w14:textId="77777777" w:rsidR="00AA474F" w:rsidRPr="009F73AA" w:rsidRDefault="00AA474F" w:rsidP="00ED24B6">
            <w:pPr>
              <w:numPr>
                <w:ilvl w:val="0"/>
                <w:numId w:val="40"/>
              </w:numPr>
              <w:spacing w:after="120"/>
              <w:rPr>
                <w:rFonts w:eastAsiaTheme="minorEastAsia"/>
              </w:rPr>
            </w:pPr>
            <w:r w:rsidRPr="009F73AA">
              <w:rPr>
                <w:rFonts w:eastAsiaTheme="minorEastAsia"/>
                <w:b/>
                <w:bCs/>
              </w:rPr>
              <w:t>Ministères nationaux</w:t>
            </w:r>
            <w:r w:rsidRPr="009F73AA">
              <w:rPr>
                <w:rFonts w:eastAsiaTheme="minorEastAsia"/>
              </w:rPr>
              <w:t> (santé, affaires sociales, jeunesse, emploi) : pour l’intégration des migrants dans les services publics.</w:t>
            </w:r>
          </w:p>
          <w:p w14:paraId="414A9287" w14:textId="79611972" w:rsidR="00AA474F" w:rsidRPr="009F73AA" w:rsidRDefault="00AA474F" w:rsidP="00ED24B6">
            <w:pPr>
              <w:numPr>
                <w:ilvl w:val="0"/>
                <w:numId w:val="40"/>
              </w:numPr>
              <w:spacing w:after="120"/>
              <w:rPr>
                <w:rFonts w:eastAsiaTheme="minorEastAsia"/>
              </w:rPr>
            </w:pPr>
            <w:r w:rsidRPr="009F73AA">
              <w:rPr>
                <w:rFonts w:eastAsiaTheme="minorEastAsia"/>
                <w:b/>
                <w:bCs/>
              </w:rPr>
              <w:t xml:space="preserve">Services </w:t>
            </w:r>
            <w:r w:rsidR="005630D7">
              <w:rPr>
                <w:rFonts w:eastAsiaTheme="minorEastAsia"/>
                <w:b/>
                <w:bCs/>
              </w:rPr>
              <w:t xml:space="preserve">Publique </w:t>
            </w:r>
            <w:r w:rsidRPr="009F73AA">
              <w:rPr>
                <w:rFonts w:eastAsiaTheme="minorEastAsia"/>
                <w:b/>
                <w:bCs/>
              </w:rPr>
              <w:t>de santé mentale</w:t>
            </w:r>
            <w:r w:rsidRPr="009F73AA">
              <w:rPr>
                <w:rFonts w:eastAsiaTheme="minorEastAsia"/>
              </w:rPr>
              <w:t> : hôpitaux, centres de santé.</w:t>
            </w:r>
          </w:p>
          <w:p w14:paraId="64E4137E" w14:textId="77777777" w:rsidR="00AA474F" w:rsidRPr="009F73AA" w:rsidRDefault="00AA474F" w:rsidP="00ED24B6">
            <w:pPr>
              <w:numPr>
                <w:ilvl w:val="0"/>
                <w:numId w:val="40"/>
              </w:numPr>
              <w:spacing w:after="120"/>
              <w:rPr>
                <w:rFonts w:eastAsiaTheme="minorEastAsia"/>
              </w:rPr>
            </w:pPr>
            <w:r w:rsidRPr="009F73AA">
              <w:rPr>
                <w:rFonts w:eastAsiaTheme="minorEastAsia"/>
                <w:b/>
                <w:bCs/>
              </w:rPr>
              <w:t>Collectivités locales</w:t>
            </w:r>
            <w:r w:rsidRPr="009F73AA">
              <w:rPr>
                <w:rFonts w:eastAsiaTheme="minorEastAsia"/>
              </w:rPr>
              <w:t> : pour faciliter l’inclusion communautaire et la médiation sociale.</w:t>
            </w:r>
          </w:p>
          <w:p w14:paraId="41A30D48" w14:textId="77777777" w:rsidR="00AA474F" w:rsidRPr="009F73AA" w:rsidRDefault="00AA474F" w:rsidP="00AA474F">
            <w:pPr>
              <w:spacing w:after="120"/>
              <w:rPr>
                <w:rFonts w:eastAsiaTheme="minorEastAsia"/>
                <w:b/>
                <w:bCs/>
              </w:rPr>
            </w:pPr>
            <w:r w:rsidRPr="009F73AA">
              <w:rPr>
                <w:rFonts w:eastAsiaTheme="minorEastAsia"/>
                <w:b/>
                <w:bCs/>
              </w:rPr>
              <w:t>2. Collaboration avec les agences des Nations Unies et ONG</w:t>
            </w:r>
          </w:p>
          <w:p w14:paraId="2741635E" w14:textId="77777777" w:rsidR="00AA474F" w:rsidRPr="009F73AA" w:rsidRDefault="00AA474F" w:rsidP="00ED24B6">
            <w:pPr>
              <w:numPr>
                <w:ilvl w:val="0"/>
                <w:numId w:val="41"/>
              </w:numPr>
              <w:spacing w:after="120"/>
              <w:rPr>
                <w:rFonts w:eastAsiaTheme="minorEastAsia"/>
              </w:rPr>
            </w:pPr>
            <w:r w:rsidRPr="009F73AA">
              <w:rPr>
                <w:rFonts w:eastAsiaTheme="minorEastAsia"/>
                <w:b/>
                <w:bCs/>
              </w:rPr>
              <w:t>UNHCR, UNICEF, UNFPA</w:t>
            </w:r>
            <w:r w:rsidRPr="009F73AA">
              <w:rPr>
                <w:rFonts w:eastAsiaTheme="minorEastAsia"/>
              </w:rPr>
              <w:t> : pour les cas spécifiques (mineurs, femmes, personnes vulnérables).</w:t>
            </w:r>
          </w:p>
          <w:p w14:paraId="128DC952" w14:textId="77777777" w:rsidR="00AA474F" w:rsidRPr="009F73AA" w:rsidRDefault="00AA474F" w:rsidP="00ED24B6">
            <w:pPr>
              <w:numPr>
                <w:ilvl w:val="0"/>
                <w:numId w:val="41"/>
              </w:numPr>
              <w:spacing w:after="120"/>
              <w:rPr>
                <w:rFonts w:eastAsiaTheme="minorEastAsia"/>
              </w:rPr>
            </w:pPr>
            <w:r w:rsidRPr="009F73AA">
              <w:rPr>
                <w:rFonts w:eastAsiaTheme="minorEastAsia"/>
                <w:b/>
                <w:bCs/>
              </w:rPr>
              <w:t>ONG locales et internationales</w:t>
            </w:r>
            <w:r w:rsidRPr="009F73AA">
              <w:rPr>
                <w:rFonts w:eastAsiaTheme="minorEastAsia"/>
              </w:rPr>
              <w:t> : spécialisées en santé mentale, protection, réintégration.</w:t>
            </w:r>
          </w:p>
          <w:p w14:paraId="6470FCCB" w14:textId="77777777" w:rsidR="00AA474F" w:rsidRPr="009F73AA" w:rsidRDefault="00AA474F" w:rsidP="00ED24B6">
            <w:pPr>
              <w:numPr>
                <w:ilvl w:val="0"/>
                <w:numId w:val="41"/>
              </w:numPr>
              <w:spacing w:after="120"/>
              <w:rPr>
                <w:rFonts w:eastAsiaTheme="minorEastAsia"/>
              </w:rPr>
            </w:pPr>
            <w:r w:rsidRPr="009F73AA">
              <w:rPr>
                <w:rFonts w:eastAsiaTheme="minorEastAsia"/>
                <w:b/>
                <w:bCs/>
              </w:rPr>
              <w:t>Organisations communautaires</w:t>
            </w:r>
            <w:r w:rsidRPr="009F73AA">
              <w:rPr>
                <w:rFonts w:eastAsiaTheme="minorEastAsia"/>
              </w:rPr>
              <w:t> : pour le relais local et le soutien de proximité.</w:t>
            </w:r>
          </w:p>
          <w:p w14:paraId="77C31205" w14:textId="77777777" w:rsidR="00AA474F" w:rsidRPr="009F73AA" w:rsidRDefault="00AA474F" w:rsidP="00AA474F">
            <w:pPr>
              <w:spacing w:after="120"/>
              <w:rPr>
                <w:rFonts w:eastAsiaTheme="minorEastAsia"/>
                <w:b/>
                <w:bCs/>
              </w:rPr>
            </w:pPr>
            <w:r w:rsidRPr="009F73AA">
              <w:rPr>
                <w:rFonts w:eastAsiaTheme="minorEastAsia"/>
                <w:b/>
                <w:bCs/>
              </w:rPr>
              <w:t>3. Partenariats techniques et académiques</w:t>
            </w:r>
          </w:p>
          <w:p w14:paraId="119753D6" w14:textId="77777777" w:rsidR="00AA474F" w:rsidRPr="009F73AA" w:rsidRDefault="00AA474F" w:rsidP="00ED24B6">
            <w:pPr>
              <w:numPr>
                <w:ilvl w:val="0"/>
                <w:numId w:val="42"/>
              </w:numPr>
              <w:spacing w:after="120"/>
              <w:rPr>
                <w:rFonts w:eastAsiaTheme="minorEastAsia"/>
              </w:rPr>
            </w:pPr>
            <w:r w:rsidRPr="009F73AA">
              <w:rPr>
                <w:rFonts w:eastAsiaTheme="minorEastAsia"/>
                <w:b/>
                <w:bCs/>
              </w:rPr>
              <w:t>Instituts de formation</w:t>
            </w:r>
            <w:r w:rsidRPr="009F73AA">
              <w:rPr>
                <w:rFonts w:eastAsiaTheme="minorEastAsia"/>
              </w:rPr>
              <w:t> : pour renforcer les capacités des intervenants psychosociaux.</w:t>
            </w:r>
          </w:p>
          <w:p w14:paraId="757802B2" w14:textId="77777777" w:rsidR="00AA474F" w:rsidRPr="009F73AA" w:rsidRDefault="00AA474F" w:rsidP="00ED24B6">
            <w:pPr>
              <w:numPr>
                <w:ilvl w:val="0"/>
                <w:numId w:val="42"/>
              </w:numPr>
              <w:spacing w:after="120"/>
              <w:rPr>
                <w:rFonts w:eastAsiaTheme="minorEastAsia"/>
              </w:rPr>
            </w:pPr>
            <w:r w:rsidRPr="009F73AA">
              <w:rPr>
                <w:rFonts w:eastAsiaTheme="minorEastAsia"/>
                <w:b/>
                <w:bCs/>
              </w:rPr>
              <w:t>Universités et centres de recherche</w:t>
            </w:r>
            <w:r w:rsidRPr="009F73AA">
              <w:rPr>
                <w:rFonts w:eastAsiaTheme="minorEastAsia"/>
              </w:rPr>
              <w:t> : pour l’évaluation de l’impact et la documentation des bonnes pratiques.</w:t>
            </w:r>
          </w:p>
          <w:p w14:paraId="59B2C23F" w14:textId="77777777" w:rsidR="00AA474F" w:rsidRPr="009F73AA" w:rsidRDefault="00AA474F" w:rsidP="00AA474F">
            <w:pPr>
              <w:spacing w:after="120"/>
              <w:rPr>
                <w:rFonts w:eastAsiaTheme="minorEastAsia"/>
                <w:b/>
                <w:bCs/>
              </w:rPr>
            </w:pPr>
            <w:r w:rsidRPr="009F73AA">
              <w:rPr>
                <w:rFonts w:eastAsiaTheme="minorEastAsia"/>
                <w:b/>
                <w:bCs/>
              </w:rPr>
              <w:lastRenderedPageBreak/>
              <w:t>4. Collaboration avec les bailleurs et partenaires financiers</w:t>
            </w:r>
          </w:p>
          <w:p w14:paraId="39D2CFAA" w14:textId="77777777" w:rsidR="00AA474F" w:rsidRPr="009F73AA" w:rsidRDefault="00AA474F" w:rsidP="00ED24B6">
            <w:pPr>
              <w:numPr>
                <w:ilvl w:val="0"/>
                <w:numId w:val="43"/>
              </w:numPr>
              <w:spacing w:after="120"/>
              <w:rPr>
                <w:rFonts w:eastAsiaTheme="minorEastAsia"/>
              </w:rPr>
            </w:pPr>
            <w:r w:rsidRPr="009F73AA">
              <w:rPr>
                <w:rFonts w:eastAsiaTheme="minorEastAsia"/>
                <w:b/>
                <w:bCs/>
              </w:rPr>
              <w:t>Union européenne, USAID, GIZ, AFD, etc.</w:t>
            </w:r>
            <w:r w:rsidRPr="009F73AA">
              <w:rPr>
                <w:rFonts w:eastAsiaTheme="minorEastAsia"/>
              </w:rPr>
              <w:t> : pour le financement et le suivi des résultats.</w:t>
            </w:r>
          </w:p>
          <w:p w14:paraId="6775925C" w14:textId="77777777" w:rsidR="00AA474F" w:rsidRPr="009F73AA" w:rsidRDefault="00AA474F" w:rsidP="00ED24B6">
            <w:pPr>
              <w:numPr>
                <w:ilvl w:val="0"/>
                <w:numId w:val="43"/>
              </w:numPr>
              <w:spacing w:after="120"/>
              <w:rPr>
                <w:rFonts w:eastAsiaTheme="minorEastAsia"/>
              </w:rPr>
            </w:pPr>
            <w:r w:rsidRPr="009F73AA">
              <w:rPr>
                <w:rFonts w:eastAsiaTheme="minorEastAsia"/>
                <w:b/>
                <w:bCs/>
              </w:rPr>
              <w:t>Mécanismes de coordination inter-bailleurs</w:t>
            </w:r>
            <w:r w:rsidRPr="009F73AA">
              <w:rPr>
                <w:rFonts w:eastAsiaTheme="minorEastAsia"/>
              </w:rPr>
              <w:t> : pour harmoniser les approches et éviter les doublons.</w:t>
            </w:r>
          </w:p>
          <w:p w14:paraId="3E7EBE29" w14:textId="77777777" w:rsidR="00AA474F" w:rsidRPr="009F73AA" w:rsidRDefault="00AA474F" w:rsidP="00AA474F">
            <w:pPr>
              <w:spacing w:after="120"/>
              <w:rPr>
                <w:rFonts w:eastAsiaTheme="minorEastAsia"/>
                <w:b/>
                <w:bCs/>
              </w:rPr>
            </w:pPr>
            <w:r w:rsidRPr="009F73AA">
              <w:rPr>
                <w:rFonts w:eastAsiaTheme="minorEastAsia"/>
                <w:b/>
                <w:bCs/>
              </w:rPr>
              <w:t>5. Coordination avec l’OIM</w:t>
            </w:r>
          </w:p>
          <w:p w14:paraId="1F52105A" w14:textId="77777777" w:rsidR="00AA474F" w:rsidRPr="009F73AA" w:rsidRDefault="00AA474F" w:rsidP="00ED24B6">
            <w:pPr>
              <w:numPr>
                <w:ilvl w:val="0"/>
                <w:numId w:val="44"/>
              </w:numPr>
              <w:spacing w:after="120"/>
              <w:rPr>
                <w:rFonts w:eastAsiaTheme="minorEastAsia"/>
              </w:rPr>
            </w:pPr>
            <w:r w:rsidRPr="009F73AA">
              <w:rPr>
                <w:rFonts w:eastAsiaTheme="minorEastAsia"/>
                <w:b/>
                <w:bCs/>
              </w:rPr>
              <w:t>Suivi technique et stratégique</w:t>
            </w:r>
            <w:r w:rsidRPr="009F73AA">
              <w:rPr>
                <w:rFonts w:eastAsiaTheme="minorEastAsia"/>
              </w:rPr>
              <w:t> : à travers les outils de l’OIM (MiMOSA, IRRS, etc.).</w:t>
            </w:r>
          </w:p>
          <w:p w14:paraId="2A49FDED" w14:textId="77777777" w:rsidR="00AA474F" w:rsidRPr="009F73AA" w:rsidRDefault="00AA474F" w:rsidP="00ED24B6">
            <w:pPr>
              <w:numPr>
                <w:ilvl w:val="0"/>
                <w:numId w:val="44"/>
              </w:numPr>
              <w:spacing w:after="120"/>
              <w:rPr>
                <w:rFonts w:eastAsiaTheme="minorEastAsia"/>
              </w:rPr>
            </w:pPr>
            <w:r w:rsidRPr="009F73AA">
              <w:rPr>
                <w:rFonts w:eastAsiaTheme="minorEastAsia"/>
                <w:b/>
                <w:bCs/>
              </w:rPr>
              <w:t>Appui à la standardisation des interventions</w:t>
            </w:r>
            <w:r w:rsidRPr="009F73AA">
              <w:rPr>
                <w:rFonts w:eastAsiaTheme="minorEastAsia"/>
              </w:rPr>
              <w:t> : selon les lignes directrices de l’OIM sur la réintégration durable.</w:t>
            </w:r>
          </w:p>
          <w:p w14:paraId="748050FD" w14:textId="21C0A732" w:rsidR="00010CC1" w:rsidRPr="009F73AA" w:rsidRDefault="00AA474F" w:rsidP="00ED24B6">
            <w:pPr>
              <w:numPr>
                <w:ilvl w:val="0"/>
                <w:numId w:val="44"/>
              </w:numPr>
              <w:spacing w:after="120"/>
              <w:rPr>
                <w:rFonts w:eastAsiaTheme="minorEastAsia"/>
              </w:rPr>
            </w:pPr>
            <w:r w:rsidRPr="009F73AA">
              <w:rPr>
                <w:rFonts w:eastAsiaTheme="minorEastAsia"/>
                <w:b/>
                <w:bCs/>
              </w:rPr>
              <w:t>Participation aux plateformes de coordination</w:t>
            </w:r>
            <w:r w:rsidRPr="009F73AA">
              <w:rPr>
                <w:rFonts w:eastAsiaTheme="minorEastAsia"/>
              </w:rPr>
              <w:t> : réunions, ateliers, groupes de travail.</w:t>
            </w:r>
          </w:p>
        </w:tc>
      </w:tr>
      <w:tr w:rsidR="00010CC1" w14:paraId="5320C6E2"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3D0D42EB" w14:textId="1666C28A" w:rsidR="00010CC1" w:rsidRDefault="00010CC1" w:rsidP="00010CC1">
            <w:pPr>
              <w:spacing w:after="120"/>
              <w:rPr>
                <w:rFonts w:eastAsiaTheme="minorEastAsia"/>
              </w:rPr>
            </w:pPr>
            <w:r>
              <w:lastRenderedPageBreak/>
              <w:t xml:space="preserve">Calendrier proposé </w:t>
            </w:r>
          </w:p>
        </w:tc>
      </w:tr>
      <w:tr w:rsidR="00010CC1" w14:paraId="122E03D3" w14:textId="77777777" w:rsidTr="085D548D">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0A7F881A" w14:textId="2C5CE921" w:rsidR="00010CC1" w:rsidRDefault="001C29D2" w:rsidP="00010CC1">
            <w:pPr>
              <w:spacing w:after="120"/>
              <w:rPr>
                <w:rFonts w:eastAsiaTheme="minorEastAsia"/>
              </w:rPr>
            </w:pPr>
            <w:r w:rsidRPr="00AC7C85">
              <w:rPr>
                <w:rFonts w:ascii="Calibri" w:eastAsia="Calibri" w:hAnsi="Calibri"/>
                <w:bCs/>
                <w:sz w:val="24"/>
              </w:rPr>
              <w:t>L’échéance de mise en œuvre est de 6 mois</w:t>
            </w:r>
          </w:p>
        </w:tc>
      </w:tr>
      <w:tr w:rsidR="00010CC1" w14:paraId="5D0FC238"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3AA5BCC3" w14:textId="2F84F36E" w:rsidR="00010CC1" w:rsidRDefault="00010CC1" w:rsidP="00010CC1">
            <w:pPr>
              <w:spacing w:after="120"/>
              <w:rPr>
                <w:rFonts w:eastAsiaTheme="minorEastAsia"/>
              </w:rPr>
            </w:pPr>
            <w:r>
              <w:t>Qualifications et expérience</w:t>
            </w:r>
          </w:p>
        </w:tc>
      </w:tr>
      <w:tr w:rsidR="00BE0585" w14:paraId="4B804C09" w14:textId="77777777" w:rsidTr="085D548D">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7A16C0C5" w14:textId="77777777" w:rsidR="00B56579" w:rsidRPr="00AC7C85" w:rsidRDefault="00B56579" w:rsidP="00ED24B6">
            <w:pPr>
              <w:pStyle w:val="Default"/>
              <w:numPr>
                <w:ilvl w:val="0"/>
                <w:numId w:val="24"/>
              </w:numPr>
              <w:spacing w:line="276" w:lineRule="auto"/>
              <w:contextualSpacing/>
              <w:jc w:val="both"/>
            </w:pPr>
            <w:r w:rsidRPr="00AC7C85">
              <w:t>Expertise technique.</w:t>
            </w:r>
          </w:p>
          <w:p w14:paraId="55EE4AF0" w14:textId="77777777" w:rsidR="00B56579" w:rsidRPr="00AC7C85" w:rsidRDefault="00B56579" w:rsidP="00ED24B6">
            <w:pPr>
              <w:pStyle w:val="Default"/>
              <w:numPr>
                <w:ilvl w:val="0"/>
                <w:numId w:val="24"/>
              </w:numPr>
              <w:spacing w:line="276" w:lineRule="auto"/>
              <w:jc w:val="both"/>
            </w:pPr>
            <w:r w:rsidRPr="00AC7C85">
              <w:t>Staff disponible et compétent.</w:t>
            </w:r>
          </w:p>
          <w:p w14:paraId="31BDBF51" w14:textId="77777777" w:rsidR="00B56579" w:rsidRPr="00AC7C85" w:rsidRDefault="00B56579" w:rsidP="00ED24B6">
            <w:pPr>
              <w:pStyle w:val="Default"/>
              <w:numPr>
                <w:ilvl w:val="0"/>
                <w:numId w:val="24"/>
              </w:numPr>
              <w:spacing w:line="276" w:lineRule="auto"/>
              <w:jc w:val="both"/>
            </w:pPr>
            <w:r w:rsidRPr="00AC7C85">
              <w:t>Expérience de projets similaires.</w:t>
            </w:r>
          </w:p>
          <w:p w14:paraId="57615001" w14:textId="77777777" w:rsidR="00B56579" w:rsidRPr="00AC7C85" w:rsidRDefault="00B56579" w:rsidP="00ED24B6">
            <w:pPr>
              <w:pStyle w:val="Default"/>
              <w:numPr>
                <w:ilvl w:val="0"/>
                <w:numId w:val="24"/>
              </w:numPr>
              <w:spacing w:line="276" w:lineRule="auto"/>
              <w:jc w:val="both"/>
            </w:pPr>
            <w:r w:rsidRPr="00AC7C85">
              <w:t>Expérience de travail avec une organisation internationale.</w:t>
            </w:r>
          </w:p>
          <w:p w14:paraId="3411C74C" w14:textId="4B471E70" w:rsidR="00BE0585" w:rsidRPr="00B56579" w:rsidRDefault="00B56579" w:rsidP="00ED24B6">
            <w:pPr>
              <w:pStyle w:val="Paragraphedeliste"/>
              <w:numPr>
                <w:ilvl w:val="0"/>
                <w:numId w:val="24"/>
              </w:numPr>
              <w:tabs>
                <w:tab w:val="left" w:pos="820"/>
              </w:tabs>
              <w:spacing w:after="120"/>
              <w:rPr>
                <w:rFonts w:eastAsiaTheme="minorEastAsia"/>
              </w:rPr>
            </w:pPr>
            <w:r w:rsidRPr="00AC7C85">
              <w:t>Présence effective dans toutes les régions</w:t>
            </w:r>
          </w:p>
        </w:tc>
      </w:tr>
      <w:tr w:rsidR="00BE0585" w14:paraId="1E3CD812"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7B67A4A1" w14:textId="770BCDDB" w:rsidR="00BE0585" w:rsidRDefault="00BE0585" w:rsidP="00BE0585">
            <w:pPr>
              <w:tabs>
                <w:tab w:val="left" w:pos="820"/>
              </w:tabs>
              <w:spacing w:after="120"/>
              <w:rPr>
                <w:rFonts w:eastAsiaTheme="minorEastAsia"/>
              </w:rPr>
            </w:pPr>
            <w:r>
              <w:t>Soumission de la proposition de projet</w:t>
            </w:r>
          </w:p>
        </w:tc>
      </w:tr>
      <w:tr w:rsidR="00BE0585" w14:paraId="023002B0" w14:textId="77777777" w:rsidTr="085D548D">
        <w:trPr>
          <w:trHeight w:val="525"/>
          <w:jc w:val="center"/>
        </w:trPr>
        <w:tc>
          <w:tcPr>
            <w:tcW w:w="9015" w:type="dxa"/>
            <w:tcBorders>
              <w:top w:val="single" w:sz="8" w:space="0" w:color="auto"/>
              <w:left w:val="single" w:sz="8" w:space="0" w:color="auto"/>
              <w:bottom w:val="single" w:sz="8" w:space="0" w:color="auto"/>
              <w:right w:val="single" w:sz="8" w:space="0" w:color="auto"/>
            </w:tcBorders>
          </w:tcPr>
          <w:p w14:paraId="64110B20" w14:textId="197794FB" w:rsidR="00BE0585" w:rsidRDefault="00BE0585" w:rsidP="00E002DE">
            <w:pPr>
              <w:spacing w:after="120"/>
              <w:rPr>
                <w:rFonts w:eastAsiaTheme="minorEastAsia"/>
              </w:rPr>
            </w:pPr>
          </w:p>
        </w:tc>
      </w:tr>
      <w:tr w:rsidR="00BE0585" w14:paraId="7476BBD1"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234D16E0" w14:textId="3DF34336" w:rsidR="00BE0585" w:rsidRDefault="00BE0585" w:rsidP="00BE0585">
            <w:pPr>
              <w:spacing w:after="120"/>
              <w:jc w:val="both"/>
              <w:rPr>
                <w:rFonts w:eastAsiaTheme="minorEastAsia"/>
              </w:rPr>
            </w:pPr>
            <w:r>
              <w:t xml:space="preserve">Adresse et date limite de soumission du projet </w:t>
            </w:r>
          </w:p>
        </w:tc>
      </w:tr>
      <w:tr w:rsidR="00BE0585" w14:paraId="5EF49651" w14:textId="77777777" w:rsidTr="085D548D">
        <w:trPr>
          <w:trHeight w:val="690"/>
          <w:jc w:val="center"/>
        </w:trPr>
        <w:tc>
          <w:tcPr>
            <w:tcW w:w="9015" w:type="dxa"/>
            <w:tcBorders>
              <w:top w:val="single" w:sz="8" w:space="0" w:color="auto"/>
              <w:left w:val="single" w:sz="8" w:space="0" w:color="auto"/>
              <w:bottom w:val="single" w:sz="8" w:space="0" w:color="auto"/>
              <w:right w:val="single" w:sz="8" w:space="0" w:color="auto"/>
            </w:tcBorders>
          </w:tcPr>
          <w:p w14:paraId="7B0FE152" w14:textId="48846E93" w:rsidR="00BE0585" w:rsidRDefault="00BE0585" w:rsidP="00BE0585">
            <w:pPr>
              <w:spacing w:after="120"/>
              <w:jc w:val="both"/>
              <w:rPr>
                <w:rFonts w:eastAsiaTheme="minorEastAsia"/>
              </w:rPr>
            </w:pPr>
            <w:r>
              <w:t xml:space="preserve"> </w:t>
            </w:r>
            <w:r w:rsidR="00337005" w:rsidRPr="001D42B4">
              <w:rPr>
                <w:b/>
                <w:bCs/>
                <w:color w:val="0070C0"/>
              </w:rPr>
              <w:t xml:space="preserve">Avenue Issa </w:t>
            </w:r>
            <w:proofErr w:type="spellStart"/>
            <w:r w:rsidR="00337005" w:rsidRPr="001D42B4">
              <w:rPr>
                <w:b/>
                <w:bCs/>
                <w:color w:val="0070C0"/>
              </w:rPr>
              <w:t>Beri</w:t>
            </w:r>
            <w:proofErr w:type="spellEnd"/>
            <w:r w:rsidR="00337005" w:rsidRPr="001D42B4">
              <w:rPr>
                <w:b/>
                <w:bCs/>
                <w:color w:val="0070C0"/>
              </w:rPr>
              <w:t xml:space="preserve">, Rue IB-42, Porte 125, Plateau, </w:t>
            </w:r>
            <w:proofErr w:type="spellStart"/>
            <w:r w:rsidR="00337005" w:rsidRPr="001D42B4">
              <w:rPr>
                <w:b/>
                <w:bCs/>
                <w:color w:val="0070C0"/>
              </w:rPr>
              <w:t>Yantala</w:t>
            </w:r>
            <w:proofErr w:type="spellEnd"/>
            <w:r w:rsidR="00337005" w:rsidRPr="001D42B4">
              <w:rPr>
                <w:b/>
                <w:bCs/>
                <w:color w:val="0070C0"/>
              </w:rPr>
              <w:t xml:space="preserve"> Haut</w:t>
            </w:r>
            <w:r w:rsidR="00337005">
              <w:t xml:space="preserve">, au plus tard le </w:t>
            </w:r>
            <w:r w:rsidR="00337005" w:rsidRPr="001D42B4">
              <w:rPr>
                <w:b/>
                <w:bCs/>
                <w:color w:val="0070C0"/>
              </w:rPr>
              <w:t xml:space="preserve">lundi </w:t>
            </w:r>
            <w:r w:rsidR="00DA5FBF">
              <w:rPr>
                <w:b/>
                <w:bCs/>
                <w:color w:val="0070C0"/>
              </w:rPr>
              <w:t>22</w:t>
            </w:r>
            <w:r w:rsidR="00337005" w:rsidRPr="001D42B4">
              <w:rPr>
                <w:b/>
                <w:bCs/>
                <w:color w:val="0070C0"/>
              </w:rPr>
              <w:t xml:space="preserve"> </w:t>
            </w:r>
            <w:r w:rsidR="006723A5">
              <w:rPr>
                <w:b/>
                <w:bCs/>
                <w:color w:val="0070C0"/>
              </w:rPr>
              <w:t>Septembre</w:t>
            </w:r>
            <w:r w:rsidR="00337005">
              <w:rPr>
                <w:b/>
                <w:bCs/>
                <w:color w:val="0070C0"/>
              </w:rPr>
              <w:t xml:space="preserve"> </w:t>
            </w:r>
            <w:r w:rsidR="00337005" w:rsidRPr="001D42B4">
              <w:rPr>
                <w:b/>
                <w:bCs/>
                <w:color w:val="0070C0"/>
              </w:rPr>
              <w:t>202</w:t>
            </w:r>
            <w:r w:rsidR="00337005">
              <w:rPr>
                <w:b/>
                <w:bCs/>
                <w:color w:val="0070C0"/>
              </w:rPr>
              <w:t>5</w:t>
            </w:r>
            <w:r w:rsidR="00337005" w:rsidRPr="001D42B4">
              <w:rPr>
                <w:b/>
                <w:bCs/>
                <w:color w:val="0070C0"/>
              </w:rPr>
              <w:t xml:space="preserve"> à 17 heures 30 mn</w:t>
            </w:r>
          </w:p>
        </w:tc>
      </w:tr>
    </w:tbl>
    <w:p w14:paraId="6AB8EE7A" w14:textId="307A6709" w:rsidR="00EC2967" w:rsidRPr="00675063" w:rsidRDefault="7C7DAED6" w:rsidP="0091364B">
      <w:pPr>
        <w:spacing w:after="120" w:line="240" w:lineRule="auto"/>
        <w:jc w:val="center"/>
        <w:rPr>
          <w:rFonts w:ascii="Calibri" w:eastAsia="Calibri" w:hAnsi="Calibri" w:cs="Calibri"/>
        </w:rPr>
      </w:pPr>
      <w:r>
        <w:rPr>
          <w:rFonts w:ascii="Calibri" w:hAnsi="Calibri"/>
        </w:rPr>
        <w:t xml:space="preserve"> </w:t>
      </w:r>
    </w:p>
    <w:p w14:paraId="26C29C83" w14:textId="71E18058" w:rsidR="00EC2967" w:rsidRPr="00675063" w:rsidRDefault="00EC2967" w:rsidP="0091364B">
      <w:pPr>
        <w:spacing w:after="120" w:line="240" w:lineRule="auto"/>
      </w:pPr>
      <w:r>
        <w:br w:type="page"/>
      </w:r>
    </w:p>
    <w:p w14:paraId="23C77C57" w14:textId="31237B5A" w:rsidR="00EC2967" w:rsidRPr="00146B6E" w:rsidRDefault="00947CF7" w:rsidP="0091364B">
      <w:pPr>
        <w:spacing w:after="120" w:line="240" w:lineRule="auto"/>
        <w:rPr>
          <w:rFonts w:ascii="Gill Sans Nova" w:eastAsiaTheme="minorEastAsia" w:hAnsi="Gill Sans Nova"/>
          <w:color w:val="4472C4"/>
          <w:sz w:val="24"/>
          <w:szCs w:val="24"/>
        </w:rPr>
      </w:pPr>
      <w:r>
        <w:rPr>
          <w:rFonts w:ascii="Gill Sans Nova" w:hAnsi="Gill Sans Nova"/>
          <w:color w:val="4472C4"/>
          <w:sz w:val="24"/>
        </w:rPr>
        <w:lastRenderedPageBreak/>
        <w:t xml:space="preserve">Bureau </w:t>
      </w:r>
      <w:r w:rsidR="7DD9515B">
        <w:rPr>
          <w:rFonts w:ascii="Gill Sans Nova" w:hAnsi="Gill Sans Nova"/>
          <w:color w:val="4472C4"/>
          <w:sz w:val="24"/>
        </w:rPr>
        <w:t>de l’OIM –</w:t>
      </w:r>
      <w:r w:rsidR="00BA0143">
        <w:rPr>
          <w:rFonts w:ascii="Arial" w:hAnsi="Arial" w:cs="Arial"/>
          <w:color w:val="4472C4"/>
          <w:sz w:val="24"/>
        </w:rPr>
        <w:t> </w:t>
      </w:r>
      <w:r w:rsidR="7DD9515B">
        <w:rPr>
          <w:rFonts w:ascii="Gill Sans Nova" w:hAnsi="Gill Sans Nova"/>
          <w:color w:val="4472C4"/>
          <w:sz w:val="24"/>
        </w:rPr>
        <w:t>(</w:t>
      </w:r>
      <w:r w:rsidR="001906EA">
        <w:rPr>
          <w:rFonts w:ascii="Gill Sans Nova" w:hAnsi="Gill Sans Nova"/>
          <w:color w:val="4472C4"/>
          <w:sz w:val="24"/>
        </w:rPr>
        <w:t>nom</w:t>
      </w:r>
      <w:r w:rsidR="7DD9515B">
        <w:rPr>
          <w:rFonts w:ascii="Gill Sans Nova" w:hAnsi="Gill Sans Nova"/>
          <w:color w:val="4472C4"/>
          <w:sz w:val="24"/>
        </w:rPr>
        <w:t>)</w:t>
      </w:r>
    </w:p>
    <w:p w14:paraId="60B0DB08" w14:textId="7996A206" w:rsidR="00EC2967" w:rsidRPr="00692A29" w:rsidRDefault="00F81858" w:rsidP="0091364B">
      <w:pPr>
        <w:spacing w:after="120" w:line="240" w:lineRule="auto"/>
        <w:rPr>
          <w:color w:val="4472C4"/>
          <w:sz w:val="28"/>
        </w:rPr>
      </w:pPr>
      <w:r>
        <w:rPr>
          <w:rFonts w:ascii="Gill Sans Nova" w:hAnsi="Gill Sans Nova"/>
          <w:color w:val="4472C4"/>
          <w:sz w:val="24"/>
        </w:rPr>
        <w:t xml:space="preserve">Numéro de référence </w:t>
      </w:r>
      <w:r w:rsidR="7DD9515B">
        <w:rPr>
          <w:rFonts w:ascii="Gill Sans Nova" w:hAnsi="Gill Sans Nova"/>
          <w:color w:val="4472C4"/>
          <w:sz w:val="24"/>
        </w:rPr>
        <w:t>de l’appel à manifestation d’intérêt de l’OIM</w:t>
      </w:r>
      <w:r w:rsidR="00BA0143">
        <w:rPr>
          <w:rFonts w:ascii="Arial" w:hAnsi="Arial" w:cs="Arial"/>
          <w:color w:val="4472C4"/>
          <w:sz w:val="24"/>
        </w:rPr>
        <w:t> </w:t>
      </w:r>
      <w:r w:rsidR="7DD9515B">
        <w:rPr>
          <w:rFonts w:ascii="Gill Sans Nova" w:hAnsi="Gill Sans Nova"/>
          <w:color w:val="4472C4"/>
          <w:sz w:val="24"/>
        </w:rPr>
        <w:t xml:space="preserve">: </w:t>
      </w:r>
      <w:r w:rsidR="00692A29" w:rsidRPr="00B128A4">
        <w:rPr>
          <w:rFonts w:eastAsia="Arial" w:cstheme="minorHAnsi"/>
          <w:b/>
          <w:bCs/>
        </w:rPr>
        <w:t>IP Management-0</w:t>
      </w:r>
      <w:r w:rsidR="00593F83">
        <w:rPr>
          <w:rFonts w:eastAsia="Arial" w:cstheme="minorHAnsi"/>
          <w:b/>
          <w:bCs/>
        </w:rPr>
        <w:t>8</w:t>
      </w:r>
      <w:r w:rsidR="00692A29" w:rsidRPr="00B128A4">
        <w:rPr>
          <w:rFonts w:eastAsia="Arial" w:cstheme="minorHAnsi"/>
          <w:b/>
          <w:bCs/>
        </w:rPr>
        <w:t>/2025-No.</w:t>
      </w:r>
      <w:r w:rsidR="00692A29" w:rsidRPr="00B128A4">
        <w:rPr>
          <w:rFonts w:eastAsia="Arial" w:cstheme="minorHAnsi"/>
          <w:b/>
          <w:bCs/>
          <w:color w:val="FF0000"/>
        </w:rPr>
        <w:t>002</w:t>
      </w:r>
    </w:p>
    <w:p w14:paraId="2BCE5953" w14:textId="4B78418C" w:rsidR="00EC2967" w:rsidRPr="00675063" w:rsidRDefault="00EC2967" w:rsidP="0091364B">
      <w:pPr>
        <w:spacing w:after="120" w:line="240" w:lineRule="auto"/>
        <w:jc w:val="center"/>
        <w:rPr>
          <w:b/>
          <w:bCs/>
        </w:rPr>
      </w:pPr>
      <w:r>
        <w:rPr>
          <w:b/>
        </w:rPr>
        <w:t>Questionnaire général sur les partenaires d’exécution</w:t>
      </w:r>
    </w:p>
    <w:p w14:paraId="44EFA310" w14:textId="3777E8CF" w:rsidR="1856FA63" w:rsidRDefault="1856FA63" w:rsidP="1856FA63">
      <w:pPr>
        <w:spacing w:after="120" w:line="240" w:lineRule="auto"/>
        <w:jc w:val="center"/>
      </w:pPr>
      <w:r>
        <w:t>Les informations fournies dans ce formulaire serviront à l’évaluation de la diligence raisonnable des candidats</w:t>
      </w:r>
      <w:r w:rsidR="00C032F6">
        <w:t>.</w:t>
      </w:r>
    </w:p>
    <w:p w14:paraId="6FC5DEDA" w14:textId="0DDC21EE" w:rsidR="00EC2967" w:rsidRPr="00675063" w:rsidRDefault="00EC2967" w:rsidP="0091364B">
      <w:pPr>
        <w:spacing w:after="120" w:line="240" w:lineRule="auto"/>
      </w:pPr>
    </w:p>
    <w:tbl>
      <w:tblPr>
        <w:tblW w:w="9990" w:type="dxa"/>
        <w:tblInd w:w="445" w:type="dxa"/>
        <w:tblLook w:val="04A0" w:firstRow="1" w:lastRow="0" w:firstColumn="1" w:lastColumn="0" w:noHBand="0" w:noVBand="1"/>
      </w:tblPr>
      <w:tblGrid>
        <w:gridCol w:w="4611"/>
        <w:gridCol w:w="5379"/>
      </w:tblGrid>
      <w:tr w:rsidR="00EA457F" w:rsidRPr="00675063" w14:paraId="17052617"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F85040" w14:textId="4BF852A8" w:rsidR="00EA457F" w:rsidRPr="004C2D02" w:rsidRDefault="00EA457F"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Numéro de référence de l’appel à manifestation d’intérêt</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tcPr>
          <w:p w14:paraId="014E8589" w14:textId="77777777" w:rsidR="00EA457F" w:rsidRPr="00023A28" w:rsidRDefault="00EA457F" w:rsidP="0091364B">
            <w:pPr>
              <w:widowControl/>
              <w:spacing w:after="120" w:line="240" w:lineRule="auto"/>
              <w:rPr>
                <w:rFonts w:eastAsia="Times New Roman" w:cstheme="minorHAnsi"/>
                <w:color w:val="FFFFFF"/>
                <w:sz w:val="20"/>
                <w:szCs w:val="20"/>
                <w:lang w:eastAsia="en-GB"/>
              </w:rPr>
            </w:pPr>
          </w:p>
          <w:p w14:paraId="212B5914" w14:textId="5FDB7619" w:rsidR="00293470" w:rsidRPr="00023A28" w:rsidRDefault="00293470" w:rsidP="0091364B">
            <w:pPr>
              <w:widowControl/>
              <w:spacing w:after="120" w:line="240" w:lineRule="auto"/>
              <w:rPr>
                <w:rFonts w:eastAsia="Times New Roman" w:cstheme="minorHAnsi"/>
                <w:color w:val="FFFFFF"/>
                <w:sz w:val="20"/>
                <w:szCs w:val="20"/>
                <w:lang w:eastAsia="en-GB"/>
              </w:rPr>
            </w:pPr>
          </w:p>
        </w:tc>
      </w:tr>
      <w:tr w:rsidR="00EA457F" w:rsidRPr="00675063" w14:paraId="3EEB3D76"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322FFC4" w14:textId="4567AC8E" w:rsidR="00EC2967" w:rsidRPr="004C2D02" w:rsidRDefault="00EC2967"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 xml:space="preserve">Nom complet de l’organisation et </w:t>
            </w:r>
            <w:r w:rsidR="00D80B7B">
              <w:rPr>
                <w:b/>
                <w:color w:val="FFFFFF" w:themeColor="background1"/>
                <w:sz w:val="20"/>
              </w:rPr>
              <w:t>sigle</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hideMark/>
          </w:tcPr>
          <w:p w14:paraId="1FF2D0DA" w14:textId="77777777" w:rsidR="00EC2967" w:rsidRDefault="00EC2967" w:rsidP="0091364B">
            <w:pPr>
              <w:widowControl/>
              <w:spacing w:after="120" w:line="240" w:lineRule="auto"/>
              <w:rPr>
                <w:rFonts w:eastAsia="Times New Roman" w:cstheme="minorHAnsi"/>
                <w:color w:val="FFFFFF"/>
                <w:sz w:val="20"/>
                <w:szCs w:val="20"/>
              </w:rPr>
            </w:pPr>
            <w:r>
              <w:rPr>
                <w:color w:val="FFFFFF"/>
                <w:sz w:val="20"/>
              </w:rPr>
              <w:t> </w:t>
            </w:r>
          </w:p>
          <w:p w14:paraId="20BAF239" w14:textId="3C659430" w:rsidR="00293470" w:rsidRPr="00023A28" w:rsidRDefault="00293470" w:rsidP="0091364B">
            <w:pPr>
              <w:widowControl/>
              <w:spacing w:after="120" w:line="240" w:lineRule="auto"/>
              <w:rPr>
                <w:rFonts w:eastAsia="Times New Roman" w:cstheme="minorHAnsi"/>
                <w:color w:val="FFFFFF"/>
                <w:sz w:val="20"/>
                <w:szCs w:val="20"/>
                <w:lang w:eastAsia="en-GB"/>
              </w:rPr>
            </w:pPr>
          </w:p>
        </w:tc>
      </w:tr>
      <w:tr w:rsidR="00EA457F" w:rsidRPr="00675063" w14:paraId="40E050DA"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B49F2DC" w14:textId="631BD828" w:rsidR="00EC2967" w:rsidRPr="004C2D02" w:rsidRDefault="00EC2967"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 xml:space="preserve">Adresses postale et </w:t>
            </w:r>
            <w:r w:rsidR="00757B26">
              <w:rPr>
                <w:b/>
                <w:color w:val="FFFFFF" w:themeColor="background1"/>
                <w:sz w:val="20"/>
              </w:rPr>
              <w:t xml:space="preserve">électronique </w:t>
            </w:r>
            <w:r>
              <w:rPr>
                <w:b/>
                <w:color w:val="FFFFFF" w:themeColor="background1"/>
                <w:sz w:val="20"/>
              </w:rPr>
              <w:t xml:space="preserve">de la personne </w:t>
            </w:r>
            <w:r w:rsidR="00C032F6">
              <w:rPr>
                <w:b/>
                <w:color w:val="FFFFFF" w:themeColor="background1"/>
                <w:sz w:val="20"/>
              </w:rPr>
              <w:t>de contact</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hideMark/>
          </w:tcPr>
          <w:p w14:paraId="44F83289" w14:textId="77777777" w:rsidR="00293470" w:rsidRPr="00023A28" w:rsidRDefault="00293470" w:rsidP="0091364B">
            <w:pPr>
              <w:widowControl/>
              <w:spacing w:after="120" w:line="240" w:lineRule="auto"/>
              <w:rPr>
                <w:rFonts w:eastAsia="Times New Roman" w:cstheme="minorHAnsi"/>
                <w:color w:val="FFFFFF"/>
                <w:sz w:val="20"/>
                <w:szCs w:val="20"/>
                <w:lang w:eastAsia="en-GB"/>
              </w:rPr>
            </w:pPr>
          </w:p>
          <w:p w14:paraId="5EF6E5F2" w14:textId="41431137"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29815320"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88A9029" w14:textId="47745A5C" w:rsidR="00EC2967" w:rsidRPr="004C2D02" w:rsidRDefault="00EC2967"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Date</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hideMark/>
          </w:tcPr>
          <w:p w14:paraId="1F22B270" w14:textId="77777777" w:rsidR="00293470" w:rsidRDefault="00293470" w:rsidP="0091364B">
            <w:pPr>
              <w:widowControl/>
              <w:spacing w:after="120" w:line="240" w:lineRule="auto"/>
              <w:rPr>
                <w:rFonts w:eastAsia="Times New Roman" w:cstheme="minorHAnsi"/>
                <w:color w:val="FFFFFF"/>
                <w:sz w:val="20"/>
                <w:szCs w:val="20"/>
                <w:lang w:val="en-GB" w:eastAsia="en-GB"/>
              </w:rPr>
            </w:pPr>
          </w:p>
          <w:p w14:paraId="76C97458" w14:textId="00B79D85"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25F7C15D"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DC843A7" w14:textId="4A95F716" w:rsidR="00EC2967" w:rsidRPr="004C2D02" w:rsidRDefault="00F434BC"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 xml:space="preserve">Existe-t-il déjà un </w:t>
            </w:r>
            <w:r w:rsidR="00EC2967">
              <w:rPr>
                <w:b/>
                <w:color w:val="FFFFFF" w:themeColor="background1"/>
                <w:sz w:val="20"/>
              </w:rPr>
              <w:t xml:space="preserve">partenariat </w:t>
            </w:r>
            <w:r>
              <w:rPr>
                <w:b/>
                <w:color w:val="FFFFFF" w:themeColor="background1"/>
                <w:sz w:val="20"/>
              </w:rPr>
              <w:t xml:space="preserve">entre l’organisation et </w:t>
            </w:r>
            <w:r w:rsidR="00EC2967">
              <w:rPr>
                <w:b/>
                <w:color w:val="FFFFFF" w:themeColor="background1"/>
                <w:sz w:val="20"/>
              </w:rPr>
              <w:t>l’OIM</w:t>
            </w:r>
            <w:r w:rsidR="00BA0143">
              <w:rPr>
                <w:b/>
                <w:color w:val="FFFFFF" w:themeColor="background1"/>
                <w:sz w:val="20"/>
              </w:rPr>
              <w:t> </w:t>
            </w:r>
            <w:r w:rsidR="00EC2967">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hideMark/>
          </w:tcPr>
          <w:p w14:paraId="34A7C19C" w14:textId="77777777" w:rsidR="00293470" w:rsidRPr="00023A28" w:rsidRDefault="00293470" w:rsidP="0091364B">
            <w:pPr>
              <w:widowControl/>
              <w:spacing w:after="120" w:line="240" w:lineRule="auto"/>
              <w:rPr>
                <w:rFonts w:eastAsia="Times New Roman" w:cstheme="minorHAnsi"/>
                <w:color w:val="FFFFFF"/>
                <w:sz w:val="20"/>
                <w:szCs w:val="20"/>
                <w:lang w:eastAsia="en-GB"/>
              </w:rPr>
            </w:pPr>
          </w:p>
          <w:p w14:paraId="36D8606B" w14:textId="1124323B"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6CC69581"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C1D41E" w14:textId="65D2FADA" w:rsidR="00EC2967" w:rsidRPr="004C2D02" w:rsidRDefault="00EC2967"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Si oui, quand cette coopération a-t-elle débuté</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hideMark/>
          </w:tcPr>
          <w:p w14:paraId="0887B949" w14:textId="77777777" w:rsidR="00293470" w:rsidRPr="00023A28" w:rsidRDefault="00293470" w:rsidP="0091364B">
            <w:pPr>
              <w:widowControl/>
              <w:spacing w:after="120" w:line="240" w:lineRule="auto"/>
              <w:rPr>
                <w:rFonts w:eastAsia="Times New Roman" w:cstheme="minorHAnsi"/>
                <w:color w:val="FFFFFF"/>
                <w:sz w:val="20"/>
                <w:szCs w:val="20"/>
                <w:lang w:eastAsia="en-GB"/>
              </w:rPr>
            </w:pPr>
          </w:p>
          <w:p w14:paraId="22F359BE" w14:textId="22BB5A66"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3854491C" w14:textId="77777777" w:rsidTr="00966A6E">
        <w:trPr>
          <w:trHeight w:val="113"/>
        </w:trPr>
        <w:tc>
          <w:tcPr>
            <w:tcW w:w="4611" w:type="dxa"/>
            <w:tcBorders>
              <w:top w:val="single" w:sz="4" w:space="0" w:color="auto"/>
              <w:left w:val="nil"/>
              <w:bottom w:val="nil"/>
              <w:right w:val="nil"/>
            </w:tcBorders>
            <w:noWrap/>
            <w:vAlign w:val="bottom"/>
            <w:hideMark/>
          </w:tcPr>
          <w:p w14:paraId="19625AA5" w14:textId="77777777" w:rsidR="00EC2967" w:rsidRPr="00023A28" w:rsidRDefault="00EC2967" w:rsidP="0091364B">
            <w:pPr>
              <w:widowControl/>
              <w:spacing w:after="120" w:line="240" w:lineRule="auto"/>
              <w:rPr>
                <w:rFonts w:eastAsia="Times New Roman" w:cstheme="minorHAnsi"/>
                <w:color w:val="FFFFFF"/>
                <w:sz w:val="20"/>
                <w:szCs w:val="20"/>
                <w:lang w:eastAsia="en-GB"/>
              </w:rPr>
            </w:pPr>
          </w:p>
        </w:tc>
        <w:tc>
          <w:tcPr>
            <w:tcW w:w="5379" w:type="dxa"/>
            <w:tcBorders>
              <w:top w:val="single" w:sz="4" w:space="0" w:color="auto"/>
              <w:left w:val="nil"/>
              <w:bottom w:val="nil"/>
              <w:right w:val="nil"/>
            </w:tcBorders>
            <w:noWrap/>
            <w:vAlign w:val="bottom"/>
            <w:hideMark/>
          </w:tcPr>
          <w:p w14:paraId="6D3C2B41" w14:textId="77777777"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132EE5B" w14:textId="77777777" w:rsidTr="00966A6E">
        <w:trPr>
          <w:trHeight w:val="144"/>
        </w:trPr>
        <w:tc>
          <w:tcPr>
            <w:tcW w:w="9990" w:type="dxa"/>
            <w:gridSpan w:val="2"/>
            <w:tcBorders>
              <w:top w:val="nil"/>
              <w:left w:val="nil"/>
              <w:bottom w:val="nil"/>
              <w:right w:val="nil"/>
            </w:tcBorders>
            <w:shd w:val="clear" w:color="auto" w:fill="1F4E78"/>
            <w:vAlign w:val="center"/>
            <w:hideMark/>
          </w:tcPr>
          <w:p w14:paraId="632FF0BA" w14:textId="2ECEA696" w:rsidR="00EA457F" w:rsidRPr="00675063" w:rsidRDefault="00EA457F" w:rsidP="0091364B">
            <w:pPr>
              <w:widowControl/>
              <w:spacing w:after="120" w:line="240" w:lineRule="auto"/>
              <w:rPr>
                <w:rFonts w:eastAsia="Times New Roman" w:cstheme="minorHAnsi"/>
                <w:b/>
                <w:bCs/>
                <w:color w:val="FFFFFF"/>
                <w:sz w:val="20"/>
                <w:szCs w:val="20"/>
              </w:rPr>
            </w:pPr>
            <w:bookmarkStart w:id="2" w:name="_Hlk69160770"/>
            <w:r>
              <w:rPr>
                <w:b/>
                <w:color w:val="FFFFFF"/>
                <w:sz w:val="20"/>
              </w:rPr>
              <w:t>A. INFORMATIONS G</w:t>
            </w:r>
            <w:r w:rsidR="00C032F6">
              <w:rPr>
                <w:b/>
                <w:color w:val="FFFFFF"/>
                <w:sz w:val="20"/>
              </w:rPr>
              <w:t>É</w:t>
            </w:r>
            <w:r>
              <w:rPr>
                <w:b/>
                <w:color w:val="FFFFFF"/>
                <w:sz w:val="20"/>
              </w:rPr>
              <w:t>N</w:t>
            </w:r>
            <w:r w:rsidR="00C032F6">
              <w:rPr>
                <w:b/>
                <w:color w:val="FFFFFF"/>
                <w:sz w:val="20"/>
              </w:rPr>
              <w:t>É</w:t>
            </w:r>
            <w:r>
              <w:rPr>
                <w:b/>
                <w:color w:val="FFFFFF"/>
                <w:sz w:val="20"/>
              </w:rPr>
              <w:t>RALES ET GOUVERNANCE</w:t>
            </w:r>
            <w:r>
              <w:rPr>
                <w:color w:val="FFFFFF"/>
                <w:sz w:val="20"/>
              </w:rPr>
              <w:t> </w:t>
            </w:r>
          </w:p>
        </w:tc>
      </w:tr>
      <w:bookmarkEnd w:id="2"/>
      <w:tr w:rsidR="00EA457F" w:rsidRPr="00675063" w14:paraId="15A2670A" w14:textId="77777777" w:rsidTr="00966A6E">
        <w:trPr>
          <w:trHeight w:val="288"/>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09BD800A" w14:textId="787F3B13" w:rsidR="00EC2967" w:rsidRPr="00667768" w:rsidRDefault="00DF5D14" w:rsidP="0091364B">
            <w:pPr>
              <w:widowControl/>
              <w:spacing w:after="120" w:line="240" w:lineRule="auto"/>
              <w:rPr>
                <w:rFonts w:eastAsia="Times New Roman" w:cstheme="minorHAnsi"/>
                <w:sz w:val="20"/>
                <w:szCs w:val="20"/>
              </w:rPr>
            </w:pPr>
            <w:r w:rsidRPr="00667768">
              <w:rPr>
                <w:sz w:val="20"/>
              </w:rPr>
              <w:t>L’</w:t>
            </w:r>
            <w:r w:rsidR="00EA457F" w:rsidRPr="00667768">
              <w:rPr>
                <w:sz w:val="20"/>
              </w:rPr>
              <w:t>organisation est-elle légalement enregistrée dans le(s) pays de mise en œuvre</w:t>
            </w:r>
            <w:r w:rsidR="00BA0143" w:rsidRPr="00667768">
              <w:rPr>
                <w:sz w:val="20"/>
              </w:rPr>
              <w:t> </w:t>
            </w:r>
            <w:r w:rsidR="00EA457F" w:rsidRPr="00667768">
              <w:rPr>
                <w:sz w:val="20"/>
              </w:rPr>
              <w:t xml:space="preserve">? Si oui, veuillez indiquer le numéro d’enregistrement ou fournir une preuve. </w:t>
            </w:r>
            <w:r w:rsidR="00991CA1" w:rsidRPr="00667768">
              <w:rPr>
                <w:sz w:val="20"/>
              </w:rPr>
              <w:t>Si</w:t>
            </w:r>
            <w:r w:rsidR="008C6A8A" w:rsidRPr="00667768">
              <w:rPr>
                <w:sz w:val="20"/>
              </w:rPr>
              <w:t xml:space="preserve"> </w:t>
            </w:r>
            <w:r w:rsidR="00991CA1" w:rsidRPr="00667768">
              <w:rPr>
                <w:sz w:val="20"/>
              </w:rPr>
              <w:t>non</w:t>
            </w:r>
            <w:r w:rsidR="00EA457F" w:rsidRPr="00667768">
              <w:rPr>
                <w:sz w:val="20"/>
              </w:rPr>
              <w:t xml:space="preserve">, veuillez </w:t>
            </w:r>
            <w:r w:rsidR="00991CA1" w:rsidRPr="00667768">
              <w:rPr>
                <w:sz w:val="20"/>
              </w:rPr>
              <w:t>fournir une explication</w:t>
            </w:r>
            <w:r w:rsidR="00EA457F" w:rsidRPr="00667768">
              <w:rPr>
                <w:sz w:val="20"/>
              </w:rPr>
              <w:t xml:space="preserve">. </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45E5A2C6" w14:textId="549CD1E5"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AE6C38D" w14:textId="77777777" w:rsidTr="00966A6E">
        <w:trPr>
          <w:trHeight w:val="576"/>
        </w:trPr>
        <w:tc>
          <w:tcPr>
            <w:tcW w:w="4611" w:type="dxa"/>
            <w:tcBorders>
              <w:top w:val="nil"/>
              <w:left w:val="single" w:sz="4" w:space="0" w:color="9D9D9C"/>
              <w:bottom w:val="single" w:sz="4" w:space="0" w:color="9D9D9C"/>
              <w:right w:val="nil"/>
            </w:tcBorders>
            <w:shd w:val="clear" w:color="auto" w:fill="FFFFFF" w:themeFill="background1"/>
            <w:vAlign w:val="center"/>
          </w:tcPr>
          <w:p w14:paraId="23B151F9" w14:textId="594947E2" w:rsidR="00EA457F" w:rsidRPr="00667768" w:rsidRDefault="00EA457F" w:rsidP="0091364B">
            <w:pPr>
              <w:widowControl/>
              <w:spacing w:after="120" w:line="240" w:lineRule="auto"/>
              <w:rPr>
                <w:rFonts w:eastAsia="Times New Roman" w:cstheme="minorHAnsi"/>
                <w:sz w:val="20"/>
                <w:szCs w:val="20"/>
              </w:rPr>
            </w:pPr>
            <w:r w:rsidRPr="00667768">
              <w:rPr>
                <w:sz w:val="20"/>
              </w:rPr>
              <w:t xml:space="preserve">Quel est </w:t>
            </w:r>
            <w:r w:rsidR="00991CA1" w:rsidRPr="00667768">
              <w:rPr>
                <w:sz w:val="20"/>
              </w:rPr>
              <w:t xml:space="preserve">le </w:t>
            </w:r>
            <w:r w:rsidRPr="00667768">
              <w:rPr>
                <w:sz w:val="20"/>
              </w:rPr>
              <w:t xml:space="preserve">statut </w:t>
            </w:r>
            <w:r w:rsidR="00991CA1" w:rsidRPr="00667768">
              <w:rPr>
                <w:sz w:val="20"/>
              </w:rPr>
              <w:t xml:space="preserve">de l’organisation </w:t>
            </w:r>
            <w:r w:rsidRPr="00667768">
              <w:rPr>
                <w:sz w:val="20"/>
              </w:rPr>
              <w:t>(par exemple, organisme public, entreprise détenue ou contrôlée par l</w:t>
            </w:r>
            <w:r w:rsidR="007D6B5E" w:rsidRPr="00667768">
              <w:rPr>
                <w:sz w:val="20"/>
              </w:rPr>
              <w:t>’</w:t>
            </w:r>
            <w:r w:rsidRPr="00667768">
              <w:rPr>
                <w:sz w:val="20"/>
              </w:rPr>
              <w:t xml:space="preserve">État, organisation intergouvernementale, organisation internationale, organisation non gouvernementale, organisme à but non lucratif, organisation </w:t>
            </w:r>
            <w:r w:rsidR="001F46D4" w:rsidRPr="00667768">
              <w:rPr>
                <w:sz w:val="20"/>
              </w:rPr>
              <w:t xml:space="preserve">internationale </w:t>
            </w:r>
            <w:r w:rsidRPr="00667768">
              <w:rPr>
                <w:sz w:val="20"/>
              </w:rPr>
              <w:t>de la société civile ou organisation de la société civile)</w:t>
            </w:r>
            <w:r w:rsidR="00BA0143" w:rsidRPr="00667768">
              <w:rPr>
                <w:sz w:val="20"/>
              </w:rPr>
              <w:t> </w:t>
            </w:r>
            <w:r w:rsidRPr="00667768">
              <w:rPr>
                <w:sz w:val="20"/>
              </w:rPr>
              <w:t xml:space="preserve">?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tcPr>
          <w:p w14:paraId="64A28C21" w14:textId="77777777" w:rsidR="00EA457F" w:rsidRPr="00023A28" w:rsidRDefault="00EA457F" w:rsidP="0091364B">
            <w:pPr>
              <w:widowControl/>
              <w:spacing w:after="120" w:line="240" w:lineRule="auto"/>
              <w:rPr>
                <w:rFonts w:eastAsia="Times New Roman" w:cstheme="minorHAnsi"/>
                <w:sz w:val="20"/>
                <w:szCs w:val="20"/>
                <w:lang w:eastAsia="en-GB"/>
              </w:rPr>
            </w:pPr>
          </w:p>
        </w:tc>
      </w:tr>
      <w:tr w:rsidR="00EA457F" w:rsidRPr="00675063" w14:paraId="0874661F" w14:textId="77777777" w:rsidTr="00966A6E">
        <w:trPr>
          <w:trHeight w:val="432"/>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1257ADB2" w14:textId="17DF825F" w:rsidR="00EC2967" w:rsidRPr="00675063" w:rsidRDefault="001F46D4" w:rsidP="6A07281D">
            <w:pPr>
              <w:widowControl/>
              <w:spacing w:after="120" w:line="240" w:lineRule="auto"/>
              <w:rPr>
                <w:rFonts w:eastAsia="Times New Roman"/>
                <w:sz w:val="20"/>
                <w:szCs w:val="20"/>
              </w:rPr>
            </w:pPr>
            <w:r>
              <w:rPr>
                <w:sz w:val="20"/>
              </w:rPr>
              <w:t>L’organisation p</w:t>
            </w:r>
            <w:r w:rsidR="0978FA9B">
              <w:rPr>
                <w:sz w:val="20"/>
              </w:rPr>
              <w:t xml:space="preserve">ublie-t-elle </w:t>
            </w:r>
            <w:r w:rsidR="00C032F6">
              <w:rPr>
                <w:sz w:val="20"/>
              </w:rPr>
              <w:t xml:space="preserve">chaque année </w:t>
            </w:r>
            <w:r w:rsidR="008C6A8A">
              <w:rPr>
                <w:sz w:val="20"/>
              </w:rPr>
              <w:t xml:space="preserve">un </w:t>
            </w:r>
            <w:r w:rsidR="00C032F6">
              <w:rPr>
                <w:sz w:val="20"/>
              </w:rPr>
              <w:t xml:space="preserve">état financier </w:t>
            </w:r>
            <w:r w:rsidR="008C6A8A">
              <w:rPr>
                <w:sz w:val="20"/>
              </w:rPr>
              <w:t>vérifié</w:t>
            </w:r>
            <w:r w:rsidR="00BA0143">
              <w:rPr>
                <w:sz w:val="20"/>
              </w:rPr>
              <w:t> </w:t>
            </w:r>
            <w:r w:rsidR="0978FA9B">
              <w:rPr>
                <w:sz w:val="20"/>
              </w:rPr>
              <w:t xml:space="preserve">? Si non, veuillez expliquer pourquoi.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48AF4EF2" w14:textId="4AF5740D" w:rsidR="00EC2967" w:rsidRPr="00713342" w:rsidRDefault="00EC2967" w:rsidP="0091364B">
            <w:pPr>
              <w:widowControl/>
              <w:spacing w:after="120" w:line="240" w:lineRule="auto"/>
              <w:rPr>
                <w:rFonts w:eastAsia="Times New Roman" w:cstheme="minorHAnsi"/>
                <w:sz w:val="20"/>
                <w:szCs w:val="20"/>
                <w:lang w:eastAsia="en-GB"/>
              </w:rPr>
            </w:pPr>
          </w:p>
        </w:tc>
      </w:tr>
      <w:tr w:rsidR="00EA457F" w:rsidRPr="00675063" w14:paraId="16B4418B" w14:textId="77777777" w:rsidTr="00966A6E">
        <w:trPr>
          <w:trHeight w:val="432"/>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747E5C52" w14:textId="34A18CED" w:rsidR="00EC2967" w:rsidRPr="00675063" w:rsidRDefault="00EA457F" w:rsidP="0091364B">
            <w:pPr>
              <w:widowControl/>
              <w:spacing w:after="120" w:line="240" w:lineRule="auto"/>
              <w:rPr>
                <w:rFonts w:eastAsia="Times New Roman" w:cstheme="minorHAnsi"/>
                <w:sz w:val="20"/>
                <w:szCs w:val="20"/>
              </w:rPr>
            </w:pPr>
            <w:r>
              <w:rPr>
                <w:sz w:val="20"/>
              </w:rPr>
              <w:t xml:space="preserve">La direction ou les actionnaires de </w:t>
            </w:r>
            <w:r w:rsidR="00DF5D14">
              <w:rPr>
                <w:sz w:val="20"/>
              </w:rPr>
              <w:t>l’</w:t>
            </w:r>
            <w:r>
              <w:rPr>
                <w:sz w:val="20"/>
              </w:rPr>
              <w:t xml:space="preserve">organisation entretiennent-ils une relation avec l’OIM </w:t>
            </w:r>
            <w:r w:rsidR="00A73F22">
              <w:rPr>
                <w:sz w:val="20"/>
              </w:rPr>
              <w:t xml:space="preserve">qui serait </w:t>
            </w:r>
            <w:r>
              <w:rPr>
                <w:sz w:val="20"/>
              </w:rPr>
              <w:t xml:space="preserve">susceptible </w:t>
            </w:r>
            <w:r w:rsidR="00A73F22">
              <w:rPr>
                <w:sz w:val="20"/>
              </w:rPr>
              <w:t xml:space="preserve">d’entraîner </w:t>
            </w:r>
            <w:r>
              <w:rPr>
                <w:sz w:val="20"/>
              </w:rPr>
              <w:t>un conflit d’intérêt</w:t>
            </w:r>
            <w:r w:rsidR="00DD4BB0">
              <w:rPr>
                <w:sz w:val="20"/>
              </w:rPr>
              <w:t>s</w:t>
            </w:r>
            <w:r w:rsidR="00BA0143">
              <w:rPr>
                <w:sz w:val="20"/>
              </w:rPr>
              <w:t> </w:t>
            </w:r>
            <w:r>
              <w:rPr>
                <w:sz w:val="20"/>
              </w:rPr>
              <w:t xml:space="preserve">?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2EA8A44F" w14:textId="19AC1AF5"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391D3B2" w14:textId="77777777" w:rsidTr="00966A6E">
        <w:trPr>
          <w:trHeight w:val="20"/>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6E322299" w14:textId="32D5141B" w:rsidR="00EC2967" w:rsidRPr="00675063" w:rsidRDefault="00EA457F" w:rsidP="0091364B">
            <w:pPr>
              <w:widowControl/>
              <w:spacing w:after="120" w:line="240" w:lineRule="auto"/>
              <w:rPr>
                <w:rFonts w:eastAsia="Times New Roman" w:cstheme="minorHAnsi"/>
                <w:sz w:val="20"/>
                <w:szCs w:val="20"/>
              </w:rPr>
            </w:pPr>
            <w:r>
              <w:rPr>
                <w:sz w:val="20"/>
              </w:rPr>
              <w:t xml:space="preserve">Quand </w:t>
            </w:r>
            <w:r w:rsidR="00DF5D14">
              <w:rPr>
                <w:sz w:val="20"/>
              </w:rPr>
              <w:t>l’</w:t>
            </w:r>
            <w:r>
              <w:rPr>
                <w:sz w:val="20"/>
              </w:rPr>
              <w:t>organisation a-t-elle été créée</w:t>
            </w:r>
            <w:r w:rsidR="00BA0143">
              <w:rPr>
                <w:sz w:val="20"/>
              </w:rPr>
              <w:t> </w:t>
            </w:r>
            <w:r>
              <w:rPr>
                <w:sz w:val="20"/>
              </w:rPr>
              <w:t>?</w:t>
            </w:r>
          </w:p>
        </w:tc>
        <w:tc>
          <w:tcPr>
            <w:tcW w:w="5379" w:type="dxa"/>
            <w:tcBorders>
              <w:top w:val="nil"/>
              <w:left w:val="single" w:sz="4" w:space="0" w:color="9D9D9C"/>
              <w:bottom w:val="single" w:sz="4" w:space="0" w:color="9D9D9C"/>
              <w:right w:val="single" w:sz="4" w:space="0" w:color="9D9D9C"/>
            </w:tcBorders>
            <w:vAlign w:val="center"/>
            <w:hideMark/>
          </w:tcPr>
          <w:p w14:paraId="14664C82" w14:textId="7D628ADD"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C846986" w14:textId="77777777" w:rsidTr="00966A6E">
        <w:trPr>
          <w:trHeight w:val="288"/>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7C731D8A" w14:textId="1443FA6A" w:rsidR="00EC2967" w:rsidRPr="00675063" w:rsidRDefault="00EA457F" w:rsidP="0091364B">
            <w:pPr>
              <w:widowControl/>
              <w:spacing w:after="120" w:line="240" w:lineRule="auto"/>
              <w:rPr>
                <w:rFonts w:eastAsia="Times New Roman" w:cstheme="minorHAnsi"/>
                <w:sz w:val="20"/>
                <w:szCs w:val="20"/>
              </w:rPr>
            </w:pPr>
            <w:r>
              <w:rPr>
                <w:sz w:val="20"/>
              </w:rPr>
              <w:t xml:space="preserve">Quand </w:t>
            </w:r>
            <w:r w:rsidR="00DF5D14">
              <w:rPr>
                <w:sz w:val="20"/>
              </w:rPr>
              <w:t xml:space="preserve">l’organisation </w:t>
            </w:r>
            <w:r>
              <w:rPr>
                <w:sz w:val="20"/>
              </w:rPr>
              <w:t>a-t-elle été évaluée par l’OIM ou un autre organisme des Nations Unies pour la dernière fois</w:t>
            </w:r>
            <w:r w:rsidR="00BA0143">
              <w:rPr>
                <w:sz w:val="20"/>
              </w:rPr>
              <w:t> </w:t>
            </w:r>
            <w:r>
              <w:rPr>
                <w:sz w:val="20"/>
              </w:rPr>
              <w:t xml:space="preserve">? </w:t>
            </w:r>
          </w:p>
        </w:tc>
        <w:tc>
          <w:tcPr>
            <w:tcW w:w="5379" w:type="dxa"/>
            <w:tcBorders>
              <w:top w:val="nil"/>
              <w:left w:val="single" w:sz="4" w:space="0" w:color="9D9D9C"/>
              <w:bottom w:val="single" w:sz="4" w:space="0" w:color="9D9D9C"/>
              <w:right w:val="single" w:sz="4" w:space="0" w:color="9D9D9C"/>
            </w:tcBorders>
            <w:vAlign w:val="center"/>
            <w:hideMark/>
          </w:tcPr>
          <w:p w14:paraId="67413B14"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1E4C7690" w14:textId="77777777" w:rsidTr="00966A6E">
        <w:trPr>
          <w:trHeight w:val="20"/>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0ED10BCE" w14:textId="4493B36A" w:rsidR="00593A8F" w:rsidRPr="00675063" w:rsidRDefault="00EC2967" w:rsidP="0091364B">
            <w:pPr>
              <w:widowControl/>
              <w:spacing w:after="120" w:line="240" w:lineRule="auto"/>
              <w:rPr>
                <w:rFonts w:eastAsia="Times New Roman" w:cstheme="minorHAnsi"/>
                <w:sz w:val="20"/>
                <w:szCs w:val="20"/>
              </w:rPr>
            </w:pPr>
            <w:r>
              <w:rPr>
                <w:sz w:val="20"/>
              </w:rPr>
              <w:t>Veuillez indiquer la date de la dernière évaluation externe et le nom de l’évaluateur(</w:t>
            </w:r>
            <w:proofErr w:type="spellStart"/>
            <w:r>
              <w:rPr>
                <w:sz w:val="20"/>
              </w:rPr>
              <w:t>trice</w:t>
            </w:r>
            <w:proofErr w:type="spellEnd"/>
            <w:r>
              <w:rPr>
                <w:sz w:val="20"/>
              </w:rPr>
              <w:t>). L’OIM peut</w:t>
            </w:r>
            <w:r w:rsidR="00F65971">
              <w:rPr>
                <w:sz w:val="20"/>
              </w:rPr>
              <w:noBreakHyphen/>
            </w:r>
            <w:r>
              <w:rPr>
                <w:sz w:val="20"/>
              </w:rPr>
              <w:t>elle y avoir accès</w:t>
            </w:r>
            <w:r w:rsidR="00BA0143">
              <w:rPr>
                <w:sz w:val="20"/>
              </w:rPr>
              <w:t> </w:t>
            </w:r>
            <w:r>
              <w:rPr>
                <w:sz w:val="20"/>
              </w:rPr>
              <w:t>?</w:t>
            </w:r>
          </w:p>
        </w:tc>
        <w:tc>
          <w:tcPr>
            <w:tcW w:w="5379" w:type="dxa"/>
            <w:tcBorders>
              <w:top w:val="nil"/>
              <w:left w:val="single" w:sz="4" w:space="0" w:color="9D9D9C"/>
              <w:bottom w:val="single" w:sz="4" w:space="0" w:color="9D9D9C"/>
              <w:right w:val="single" w:sz="4" w:space="0" w:color="9D9D9C"/>
            </w:tcBorders>
            <w:vAlign w:val="center"/>
            <w:hideMark/>
          </w:tcPr>
          <w:p w14:paraId="04BE9450" w14:textId="77777777" w:rsidR="00EC2967" w:rsidRPr="00675063" w:rsidRDefault="00EC2967" w:rsidP="0091364B">
            <w:pPr>
              <w:widowControl/>
              <w:spacing w:after="120" w:line="240" w:lineRule="auto"/>
              <w:rPr>
                <w:rFonts w:eastAsia="Times New Roman" w:cstheme="minorHAnsi"/>
                <w:sz w:val="20"/>
                <w:szCs w:val="20"/>
              </w:rPr>
            </w:pPr>
            <w:r>
              <w:rPr>
                <w:sz w:val="20"/>
              </w:rPr>
              <w:t> </w:t>
            </w:r>
          </w:p>
        </w:tc>
      </w:tr>
      <w:tr w:rsidR="00593A8F" w:rsidRPr="00675063" w14:paraId="05F75A24" w14:textId="77777777" w:rsidTr="00966A6E">
        <w:trPr>
          <w:trHeight w:val="20"/>
        </w:trPr>
        <w:tc>
          <w:tcPr>
            <w:tcW w:w="9990" w:type="dxa"/>
            <w:gridSpan w:val="2"/>
            <w:tcBorders>
              <w:top w:val="nil"/>
              <w:left w:val="nil"/>
              <w:bottom w:val="nil"/>
              <w:right w:val="nil"/>
            </w:tcBorders>
            <w:shd w:val="clear" w:color="auto" w:fill="1F4E78"/>
            <w:vAlign w:val="center"/>
            <w:hideMark/>
          </w:tcPr>
          <w:p w14:paraId="3A9BCC3F" w14:textId="4D744856" w:rsidR="00593A8F" w:rsidRPr="00675063" w:rsidRDefault="00593A8F" w:rsidP="0091364B">
            <w:pPr>
              <w:widowControl/>
              <w:spacing w:after="120" w:line="240" w:lineRule="auto"/>
              <w:rPr>
                <w:rFonts w:eastAsia="Times New Roman" w:cstheme="minorHAnsi"/>
                <w:b/>
                <w:bCs/>
                <w:caps/>
                <w:color w:val="FFFFFF"/>
                <w:sz w:val="20"/>
                <w:szCs w:val="20"/>
              </w:rPr>
            </w:pPr>
            <w:r>
              <w:rPr>
                <w:b/>
                <w:caps/>
                <w:color w:val="FFFFFF"/>
                <w:sz w:val="20"/>
              </w:rPr>
              <w:t xml:space="preserve">B. Structure organisationnelle </w:t>
            </w:r>
          </w:p>
        </w:tc>
      </w:tr>
      <w:tr w:rsidR="001D0799" w:rsidRPr="00675063" w14:paraId="762D1ACA"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59D47A09" w14:textId="0F15CF53" w:rsidR="001D0799" w:rsidRPr="00675063" w:rsidRDefault="00B224C5" w:rsidP="0091364B">
            <w:pPr>
              <w:widowControl/>
              <w:spacing w:after="120" w:line="240" w:lineRule="auto"/>
              <w:rPr>
                <w:rFonts w:eastAsia="Times New Roman" w:cstheme="minorHAnsi"/>
                <w:color w:val="000000"/>
                <w:sz w:val="20"/>
                <w:szCs w:val="20"/>
              </w:rPr>
            </w:pPr>
            <w:r>
              <w:rPr>
                <w:sz w:val="20"/>
              </w:rPr>
              <w:t>Un</w:t>
            </w:r>
            <w:r w:rsidR="001D0799">
              <w:rPr>
                <w:sz w:val="20"/>
              </w:rPr>
              <w:t xml:space="preserve"> organigramme actualisé de </w:t>
            </w:r>
            <w:r>
              <w:rPr>
                <w:sz w:val="20"/>
              </w:rPr>
              <w:t>l’</w:t>
            </w:r>
            <w:r w:rsidR="001D0799">
              <w:rPr>
                <w:sz w:val="20"/>
              </w:rPr>
              <w:t xml:space="preserve">organisation et les CV des membres clés du personnel </w:t>
            </w:r>
            <w:r w:rsidR="004C022F">
              <w:rPr>
                <w:sz w:val="20"/>
              </w:rPr>
              <w:t xml:space="preserve">sont-ils joints </w:t>
            </w:r>
            <w:r w:rsidR="001D0799">
              <w:rPr>
                <w:sz w:val="20"/>
              </w:rPr>
              <w:t xml:space="preserve">à </w:t>
            </w:r>
            <w:r w:rsidR="004C022F">
              <w:rPr>
                <w:sz w:val="20"/>
              </w:rPr>
              <w:t xml:space="preserve">la </w:t>
            </w:r>
            <w:r w:rsidR="001D0799">
              <w:rPr>
                <w:sz w:val="20"/>
              </w:rPr>
              <w:t>candidature</w:t>
            </w:r>
            <w:r w:rsidR="00BA0143">
              <w:rPr>
                <w:sz w:val="20"/>
              </w:rPr>
              <w:t> </w:t>
            </w:r>
            <w:r w:rsidR="001D0799">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75A81A9" w14:textId="77777777" w:rsidR="001D0799" w:rsidRPr="00023A28" w:rsidRDefault="001D0799" w:rsidP="0091364B">
            <w:pPr>
              <w:widowControl/>
              <w:spacing w:after="120" w:line="240" w:lineRule="auto"/>
              <w:rPr>
                <w:rFonts w:eastAsia="Times New Roman" w:cstheme="minorHAnsi"/>
                <w:sz w:val="20"/>
                <w:szCs w:val="20"/>
                <w:lang w:eastAsia="en-GB"/>
              </w:rPr>
            </w:pPr>
          </w:p>
        </w:tc>
      </w:tr>
      <w:tr w:rsidR="00563AD6" w:rsidRPr="00675063" w14:paraId="70C77A0C"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58ED53A2" w14:textId="104BBD19" w:rsidR="00563AD6" w:rsidRPr="00A66CC3" w:rsidRDefault="00713342" w:rsidP="0091364B">
            <w:pPr>
              <w:widowControl/>
              <w:spacing w:after="120" w:line="240" w:lineRule="auto"/>
              <w:rPr>
                <w:rFonts w:eastAsia="Times New Roman" w:cstheme="minorHAnsi"/>
                <w:sz w:val="20"/>
                <w:szCs w:val="20"/>
              </w:rPr>
            </w:pPr>
            <w:r w:rsidRPr="00A66CC3">
              <w:rPr>
                <w:sz w:val="20"/>
              </w:rPr>
              <w:lastRenderedPageBreak/>
              <w:t xml:space="preserve">Dans quelles régions du pays </w:t>
            </w:r>
            <w:r w:rsidR="00D315F0" w:rsidRPr="00A66CC3">
              <w:rPr>
                <w:sz w:val="20"/>
              </w:rPr>
              <w:t>l’</w:t>
            </w:r>
            <w:r w:rsidRPr="00A66CC3">
              <w:rPr>
                <w:sz w:val="20"/>
              </w:rPr>
              <w:t>organisation intervient-elle</w:t>
            </w:r>
            <w:r w:rsidR="00563AD6" w:rsidRPr="00A66CC3">
              <w:rPr>
                <w:sz w:val="20"/>
              </w:rPr>
              <w:t>, et quelles sont sa structure et sa présence sur le terrain</w:t>
            </w:r>
            <w:r w:rsidR="00BA0143" w:rsidRPr="00A66CC3">
              <w:rPr>
                <w:sz w:val="20"/>
              </w:rPr>
              <w:t> </w:t>
            </w:r>
            <w:r w:rsidR="00563AD6" w:rsidRPr="00A66CC3">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23AE4CDD" w14:textId="77777777" w:rsidR="00563AD6" w:rsidRPr="00675063" w:rsidRDefault="00563AD6" w:rsidP="0091364B">
            <w:pPr>
              <w:widowControl/>
              <w:spacing w:after="120" w:line="240" w:lineRule="auto"/>
              <w:rPr>
                <w:rFonts w:eastAsia="Times New Roman" w:cstheme="minorHAnsi"/>
                <w:sz w:val="20"/>
                <w:szCs w:val="20"/>
              </w:rPr>
            </w:pPr>
            <w:r>
              <w:rPr>
                <w:sz w:val="20"/>
              </w:rPr>
              <w:t> </w:t>
            </w:r>
          </w:p>
        </w:tc>
      </w:tr>
      <w:tr w:rsidR="00563AD6" w:rsidRPr="00675063" w14:paraId="1074D968"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2FA20E4E" w14:textId="187B6079" w:rsidR="00563AD6" w:rsidRPr="00A66CC3" w:rsidRDefault="00563AD6" w:rsidP="0091364B">
            <w:pPr>
              <w:widowControl/>
              <w:spacing w:after="120" w:line="240" w:lineRule="auto"/>
              <w:rPr>
                <w:rFonts w:eastAsia="Times New Roman" w:cstheme="minorHAnsi"/>
                <w:sz w:val="20"/>
                <w:szCs w:val="20"/>
              </w:rPr>
            </w:pPr>
            <w:r w:rsidRPr="00A66CC3">
              <w:rPr>
                <w:sz w:val="20"/>
              </w:rPr>
              <w:t xml:space="preserve">Combien de personnes travaillent </w:t>
            </w:r>
            <w:r w:rsidR="00D315F0" w:rsidRPr="00A66CC3">
              <w:rPr>
                <w:sz w:val="20"/>
              </w:rPr>
              <w:t xml:space="preserve">dans </w:t>
            </w:r>
            <w:r w:rsidRPr="00A66CC3">
              <w:rPr>
                <w:sz w:val="20"/>
              </w:rPr>
              <w:t xml:space="preserve">le bureau de pays ou </w:t>
            </w:r>
            <w:r w:rsidR="00D315F0" w:rsidRPr="00A66CC3">
              <w:rPr>
                <w:sz w:val="20"/>
              </w:rPr>
              <w:t xml:space="preserve">pour </w:t>
            </w:r>
            <w:r w:rsidRPr="00A66CC3">
              <w:rPr>
                <w:sz w:val="20"/>
              </w:rPr>
              <w:t>le programme</w:t>
            </w:r>
            <w:r w:rsidR="00BA0143" w:rsidRPr="00A66CC3">
              <w:rPr>
                <w:sz w:val="20"/>
              </w:rPr>
              <w:t> </w:t>
            </w:r>
            <w:r w:rsidRPr="00A66CC3">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770B8832" w14:textId="77777777" w:rsidR="00563AD6" w:rsidRPr="00675063" w:rsidRDefault="00563AD6" w:rsidP="0091364B">
            <w:pPr>
              <w:widowControl/>
              <w:spacing w:after="120" w:line="240" w:lineRule="auto"/>
              <w:rPr>
                <w:rFonts w:eastAsia="Times New Roman" w:cstheme="minorHAnsi"/>
                <w:sz w:val="20"/>
                <w:szCs w:val="20"/>
              </w:rPr>
            </w:pPr>
            <w:r>
              <w:rPr>
                <w:sz w:val="20"/>
              </w:rPr>
              <w:t> </w:t>
            </w:r>
          </w:p>
        </w:tc>
      </w:tr>
      <w:tr w:rsidR="00563AD6" w:rsidRPr="00675063" w14:paraId="65E3CC49"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6DC52C57" w14:textId="6A22A654" w:rsidR="00563AD6" w:rsidRPr="00675063" w:rsidRDefault="00563AD6" w:rsidP="0091364B">
            <w:pPr>
              <w:widowControl/>
              <w:spacing w:after="120" w:line="240" w:lineRule="auto"/>
              <w:rPr>
                <w:rFonts w:eastAsia="Times New Roman" w:cstheme="minorHAnsi"/>
                <w:sz w:val="20"/>
                <w:szCs w:val="20"/>
              </w:rPr>
            </w:pPr>
            <w:r>
              <w:rPr>
                <w:sz w:val="20"/>
              </w:rPr>
              <w:t xml:space="preserve">Les fonctions opérationnelles </w:t>
            </w:r>
            <w:r w:rsidR="003736AA">
              <w:rPr>
                <w:sz w:val="20"/>
              </w:rPr>
              <w:t xml:space="preserve">principales </w:t>
            </w:r>
            <w:r>
              <w:rPr>
                <w:sz w:val="20"/>
              </w:rPr>
              <w:t>disposent</w:t>
            </w:r>
            <w:r w:rsidR="00A66CC3">
              <w:rPr>
                <w:sz w:val="20"/>
              </w:rPr>
              <w:noBreakHyphen/>
            </w:r>
            <w:r>
              <w:rPr>
                <w:sz w:val="20"/>
              </w:rPr>
              <w:t>elles toutes de ressources humaines et autres (finance, logistique, mise en œuvre, suivi et évaluation) suffisantes</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0430356" w14:textId="77777777" w:rsidR="00563AD6" w:rsidRPr="00023A28" w:rsidRDefault="00563AD6" w:rsidP="0091364B">
            <w:pPr>
              <w:widowControl/>
              <w:spacing w:after="120" w:line="240" w:lineRule="auto"/>
              <w:rPr>
                <w:rFonts w:eastAsia="Times New Roman" w:cstheme="minorHAnsi"/>
                <w:sz w:val="20"/>
                <w:szCs w:val="20"/>
                <w:lang w:eastAsia="en-GB"/>
              </w:rPr>
            </w:pPr>
          </w:p>
        </w:tc>
      </w:tr>
      <w:tr w:rsidR="001D0799" w:rsidRPr="00675063" w14:paraId="0A0D6F5D"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03C58C84" w14:textId="76BE6B60" w:rsidR="001D0799" w:rsidRPr="00675063" w:rsidRDefault="003736AA" w:rsidP="0091364B">
            <w:pPr>
              <w:widowControl/>
              <w:spacing w:after="120" w:line="240" w:lineRule="auto"/>
              <w:rPr>
                <w:rFonts w:eastAsia="Times New Roman" w:cstheme="minorHAnsi"/>
                <w:sz w:val="20"/>
                <w:szCs w:val="20"/>
              </w:rPr>
            </w:pPr>
            <w:r>
              <w:rPr>
                <w:sz w:val="20"/>
              </w:rPr>
              <w:t>L’</w:t>
            </w:r>
            <w:r w:rsidR="00C65113">
              <w:rPr>
                <w:sz w:val="20"/>
              </w:rPr>
              <w:t>organisation a-t-elle établi des directives à l’</w:t>
            </w:r>
            <w:r w:rsidR="00DF3C46">
              <w:rPr>
                <w:sz w:val="20"/>
              </w:rPr>
              <w:t>intention</w:t>
            </w:r>
            <w:r w:rsidR="00C65113">
              <w:rPr>
                <w:sz w:val="20"/>
              </w:rPr>
              <w:t xml:space="preserve"> du personnel</w:t>
            </w:r>
            <w:r w:rsidR="00BA0143">
              <w:rPr>
                <w:sz w:val="20"/>
              </w:rPr>
              <w:t> </w:t>
            </w:r>
            <w:r w:rsidR="00C65113">
              <w:rPr>
                <w:sz w:val="20"/>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CAC5388" w14:textId="77777777" w:rsidR="001D0799" w:rsidRPr="00023A28" w:rsidRDefault="001D0799" w:rsidP="0091364B">
            <w:pPr>
              <w:widowControl/>
              <w:spacing w:after="120" w:line="240" w:lineRule="auto"/>
              <w:rPr>
                <w:rFonts w:eastAsia="Times New Roman" w:cstheme="minorHAnsi"/>
                <w:sz w:val="20"/>
                <w:szCs w:val="20"/>
                <w:lang w:eastAsia="en-GB"/>
              </w:rPr>
            </w:pPr>
          </w:p>
        </w:tc>
      </w:tr>
      <w:tr w:rsidR="001D0799" w:rsidRPr="00675063" w14:paraId="68DF2B6D"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0F1C16B5" w14:textId="2813A396" w:rsidR="001D0799" w:rsidRPr="00675063" w:rsidRDefault="005B678D" w:rsidP="0091364B">
            <w:pPr>
              <w:widowControl/>
              <w:spacing w:after="120" w:line="240" w:lineRule="auto"/>
              <w:rPr>
                <w:rFonts w:eastAsia="Times New Roman" w:cstheme="minorHAnsi"/>
                <w:sz w:val="20"/>
                <w:szCs w:val="20"/>
              </w:rPr>
            </w:pPr>
            <w:r>
              <w:rPr>
                <w:sz w:val="20"/>
              </w:rPr>
              <w:t>L’organisation e</w:t>
            </w:r>
            <w:r w:rsidR="00C65113">
              <w:rPr>
                <w:sz w:val="20"/>
              </w:rPr>
              <w:t xml:space="preserve">st-elle dotée de procédures </w:t>
            </w:r>
            <w:r w:rsidR="00701A51">
              <w:rPr>
                <w:sz w:val="20"/>
              </w:rPr>
              <w:t xml:space="preserve">permettant d’assurer la </w:t>
            </w:r>
            <w:r w:rsidR="00C65113">
              <w:rPr>
                <w:sz w:val="20"/>
              </w:rPr>
              <w:t>sécurité du personnel</w:t>
            </w:r>
            <w:r w:rsidR="00BA0143">
              <w:rPr>
                <w:sz w:val="20"/>
              </w:rPr>
              <w:t> </w:t>
            </w:r>
            <w:r w:rsidR="00C65113">
              <w:rPr>
                <w:sz w:val="20"/>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39FE9F5" w14:textId="77777777" w:rsidR="001D0799" w:rsidRPr="00023A28" w:rsidRDefault="001D0799" w:rsidP="0091364B">
            <w:pPr>
              <w:widowControl/>
              <w:spacing w:after="120" w:line="240" w:lineRule="auto"/>
              <w:rPr>
                <w:rFonts w:eastAsia="Times New Roman" w:cstheme="minorHAnsi"/>
                <w:sz w:val="20"/>
                <w:szCs w:val="20"/>
                <w:lang w:eastAsia="en-GB"/>
              </w:rPr>
            </w:pPr>
          </w:p>
        </w:tc>
      </w:tr>
      <w:tr w:rsidR="00EA457F" w:rsidRPr="00675063" w14:paraId="4D2DFC65" w14:textId="77777777" w:rsidTr="00966A6E">
        <w:trPr>
          <w:trHeight w:val="288"/>
        </w:trPr>
        <w:tc>
          <w:tcPr>
            <w:tcW w:w="4611" w:type="dxa"/>
            <w:tcBorders>
              <w:top w:val="nil"/>
              <w:left w:val="nil"/>
              <w:bottom w:val="nil"/>
              <w:right w:val="nil"/>
            </w:tcBorders>
            <w:shd w:val="clear" w:color="auto" w:fill="1F4E78"/>
            <w:vAlign w:val="center"/>
            <w:hideMark/>
          </w:tcPr>
          <w:p w14:paraId="77F9AE1A" w14:textId="158DE5C3" w:rsidR="00EC2967" w:rsidRPr="00675063" w:rsidRDefault="00D8642B" w:rsidP="0091364B">
            <w:pPr>
              <w:widowControl/>
              <w:spacing w:after="120" w:line="240" w:lineRule="auto"/>
              <w:rPr>
                <w:rFonts w:eastAsia="Times New Roman" w:cstheme="minorHAnsi"/>
                <w:b/>
                <w:bCs/>
                <w:color w:val="FFFFFF"/>
                <w:sz w:val="20"/>
                <w:szCs w:val="20"/>
              </w:rPr>
            </w:pPr>
            <w:r>
              <w:rPr>
                <w:b/>
                <w:color w:val="FFFFFF"/>
                <w:sz w:val="20"/>
              </w:rPr>
              <w:t>C. RELATIONS EXT</w:t>
            </w:r>
            <w:r w:rsidR="00713342">
              <w:rPr>
                <w:b/>
                <w:color w:val="FFFFFF"/>
                <w:sz w:val="20"/>
              </w:rPr>
              <w:t>É</w:t>
            </w:r>
            <w:r>
              <w:rPr>
                <w:b/>
                <w:color w:val="FFFFFF"/>
                <w:sz w:val="20"/>
              </w:rPr>
              <w:t>RIEURES ET INFLUENCE</w:t>
            </w:r>
          </w:p>
        </w:tc>
        <w:tc>
          <w:tcPr>
            <w:tcW w:w="5379" w:type="dxa"/>
            <w:tcBorders>
              <w:top w:val="nil"/>
              <w:left w:val="nil"/>
              <w:bottom w:val="nil"/>
              <w:right w:val="nil"/>
            </w:tcBorders>
            <w:shd w:val="clear" w:color="auto" w:fill="1F4E78"/>
            <w:noWrap/>
            <w:vAlign w:val="center"/>
            <w:hideMark/>
          </w:tcPr>
          <w:p w14:paraId="40991E58" w14:textId="77777777"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411E44C8" w14:textId="77777777" w:rsidTr="00966A6E">
        <w:trPr>
          <w:trHeight w:val="288"/>
        </w:trPr>
        <w:tc>
          <w:tcPr>
            <w:tcW w:w="4611" w:type="dxa"/>
            <w:tcBorders>
              <w:top w:val="nil"/>
              <w:left w:val="nil"/>
              <w:bottom w:val="nil"/>
              <w:right w:val="nil"/>
            </w:tcBorders>
            <w:shd w:val="clear" w:color="auto" w:fill="9D9D9C"/>
            <w:vAlign w:val="center"/>
            <w:hideMark/>
          </w:tcPr>
          <w:p w14:paraId="78389424"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Réseaux et coordination</w:t>
            </w:r>
          </w:p>
        </w:tc>
        <w:tc>
          <w:tcPr>
            <w:tcW w:w="5379" w:type="dxa"/>
            <w:tcBorders>
              <w:top w:val="nil"/>
              <w:left w:val="nil"/>
              <w:bottom w:val="nil"/>
              <w:right w:val="nil"/>
            </w:tcBorders>
            <w:shd w:val="clear" w:color="auto" w:fill="9D9D9C"/>
            <w:vAlign w:val="center"/>
            <w:hideMark/>
          </w:tcPr>
          <w:p w14:paraId="2D982709"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5B9D0D9C" w14:textId="77777777" w:rsidTr="00966A6E">
        <w:trPr>
          <w:trHeight w:val="83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4141958E" w14:textId="46BF205C" w:rsidR="00EC2967" w:rsidRPr="00675063" w:rsidRDefault="0040109D" w:rsidP="0091364B">
            <w:pPr>
              <w:widowControl/>
              <w:spacing w:after="120" w:line="240" w:lineRule="auto"/>
              <w:rPr>
                <w:rFonts w:eastAsia="Times New Roman" w:cstheme="minorHAnsi"/>
                <w:sz w:val="20"/>
                <w:szCs w:val="20"/>
              </w:rPr>
            </w:pPr>
            <w:r>
              <w:rPr>
                <w:sz w:val="20"/>
              </w:rPr>
              <w:t>L’</w:t>
            </w:r>
            <w:r w:rsidR="00EC2967">
              <w:rPr>
                <w:sz w:val="20"/>
              </w:rPr>
              <w:t xml:space="preserve">organisation </w:t>
            </w:r>
            <w:r w:rsidR="00242D98">
              <w:rPr>
                <w:sz w:val="20"/>
              </w:rPr>
              <w:t>a</w:t>
            </w:r>
            <w:r w:rsidR="00EC2967">
              <w:rPr>
                <w:sz w:val="20"/>
              </w:rPr>
              <w:t xml:space="preserve">-t-elle </w:t>
            </w:r>
            <w:r w:rsidR="00242D98">
              <w:rPr>
                <w:sz w:val="20"/>
              </w:rPr>
              <w:t>noué des liens de collaboration</w:t>
            </w:r>
            <w:r>
              <w:rPr>
                <w:sz w:val="20"/>
              </w:rPr>
              <w:t xml:space="preserve"> </w:t>
            </w:r>
            <w:r w:rsidR="00EC2967">
              <w:rPr>
                <w:sz w:val="20"/>
              </w:rPr>
              <w:t>avec d’autres organisations de la société civile, organisations humanitaires ou réseaux</w:t>
            </w:r>
            <w:r w:rsidR="00BA0143">
              <w:rPr>
                <w:sz w:val="20"/>
              </w:rPr>
              <w:t> </w:t>
            </w:r>
            <w:r w:rsidR="00EC2967">
              <w:rPr>
                <w:sz w:val="20"/>
              </w:rPr>
              <w:t xml:space="preserve">? Si oui, veuillez préciser. </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0C134DD1" w14:textId="501830D1" w:rsidR="00EC2967" w:rsidRPr="00E950BC" w:rsidRDefault="00EC2967" w:rsidP="0091364B">
            <w:pPr>
              <w:widowControl/>
              <w:spacing w:after="120" w:line="240" w:lineRule="auto"/>
              <w:rPr>
                <w:rFonts w:eastAsia="Times New Roman" w:cstheme="minorHAnsi"/>
                <w:sz w:val="20"/>
                <w:szCs w:val="20"/>
                <w:lang w:val="fr-CH" w:eastAsia="en-GB"/>
              </w:rPr>
            </w:pPr>
          </w:p>
        </w:tc>
      </w:tr>
      <w:tr w:rsidR="00EA457F" w:rsidRPr="00675063" w14:paraId="676744C5" w14:textId="77777777" w:rsidTr="00966A6E">
        <w:trPr>
          <w:trHeight w:val="576"/>
        </w:trPr>
        <w:tc>
          <w:tcPr>
            <w:tcW w:w="4611" w:type="dxa"/>
            <w:tcBorders>
              <w:top w:val="nil"/>
              <w:left w:val="single" w:sz="4" w:space="0" w:color="9D9D9C"/>
              <w:bottom w:val="single" w:sz="4" w:space="0" w:color="9D9D9C"/>
              <w:right w:val="single" w:sz="4" w:space="0" w:color="9D9D9C"/>
            </w:tcBorders>
            <w:vAlign w:val="center"/>
            <w:hideMark/>
          </w:tcPr>
          <w:p w14:paraId="33200CD6" w14:textId="6DC5FD19" w:rsidR="00EC2967" w:rsidRPr="00675063" w:rsidRDefault="00242D98" w:rsidP="0091364B">
            <w:pPr>
              <w:widowControl/>
              <w:spacing w:after="120" w:line="240" w:lineRule="auto"/>
              <w:rPr>
                <w:rFonts w:eastAsia="Times New Roman" w:cstheme="minorHAnsi"/>
                <w:sz w:val="20"/>
                <w:szCs w:val="20"/>
              </w:rPr>
            </w:pPr>
            <w:r>
              <w:rPr>
                <w:sz w:val="20"/>
              </w:rPr>
              <w:t>L’organisation c</w:t>
            </w:r>
            <w:r w:rsidR="00EC2967">
              <w:rPr>
                <w:sz w:val="20"/>
              </w:rPr>
              <w:t>oordonne-t-elle son action avec des organisations de la société civile (locales, nationales ou internationales)</w:t>
            </w:r>
            <w:r w:rsidR="00BA0143">
              <w:rPr>
                <w:sz w:val="20"/>
              </w:rPr>
              <w:t> </w:t>
            </w:r>
            <w:r w:rsidR="00EC2967">
              <w:rPr>
                <w:sz w:val="20"/>
              </w:rPr>
              <w:t>? Si oui, veuillez préciser.</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6F994E8C" w14:textId="7E7FE2E7" w:rsidR="00EC2967" w:rsidRPr="00E950BC" w:rsidRDefault="00EC2967" w:rsidP="0091364B">
            <w:pPr>
              <w:widowControl/>
              <w:spacing w:after="120" w:line="240" w:lineRule="auto"/>
              <w:rPr>
                <w:rFonts w:eastAsia="Times New Roman" w:cstheme="minorHAnsi"/>
                <w:sz w:val="20"/>
                <w:szCs w:val="20"/>
                <w:lang w:val="fr-CH" w:eastAsia="en-GB"/>
              </w:rPr>
            </w:pPr>
          </w:p>
        </w:tc>
      </w:tr>
      <w:tr w:rsidR="00EA457F" w:rsidRPr="00675063" w14:paraId="741959B2"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FC639C4" w14:textId="0820742C" w:rsidR="00EC2967" w:rsidRPr="00675063" w:rsidRDefault="00D8642B" w:rsidP="0091364B">
            <w:pPr>
              <w:widowControl/>
              <w:spacing w:after="120" w:line="240" w:lineRule="auto"/>
              <w:rPr>
                <w:rFonts w:eastAsia="Times New Roman" w:cstheme="minorHAnsi"/>
                <w:sz w:val="20"/>
                <w:szCs w:val="20"/>
              </w:rPr>
            </w:pPr>
            <w:r>
              <w:rPr>
                <w:sz w:val="20"/>
              </w:rPr>
              <w:t>Comment</w:t>
            </w:r>
            <w:r w:rsidR="00242D98">
              <w:rPr>
                <w:sz w:val="20"/>
              </w:rPr>
              <w:t xml:space="preserve"> l’organisation</w:t>
            </w:r>
            <w:r>
              <w:rPr>
                <w:sz w:val="20"/>
              </w:rPr>
              <w:t xml:space="preserve"> interagit-elle avec les bénéficiaires et les communautés</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72A30C3C" w14:textId="2EADE14A"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023CBC6" w14:textId="77777777" w:rsidTr="00966A6E">
        <w:trPr>
          <w:trHeight w:val="144"/>
        </w:trPr>
        <w:tc>
          <w:tcPr>
            <w:tcW w:w="4611" w:type="dxa"/>
            <w:tcBorders>
              <w:top w:val="nil"/>
              <w:left w:val="single" w:sz="4" w:space="0" w:color="9D9D9C"/>
              <w:bottom w:val="single" w:sz="4" w:space="0" w:color="9D9D9C"/>
              <w:right w:val="nil"/>
            </w:tcBorders>
            <w:vAlign w:val="center"/>
            <w:hideMark/>
          </w:tcPr>
          <w:p w14:paraId="334C2551" w14:textId="313C7539" w:rsidR="00EC2967" w:rsidRPr="00675063" w:rsidRDefault="002D57A0" w:rsidP="0091364B">
            <w:pPr>
              <w:widowControl/>
              <w:spacing w:after="120" w:line="240" w:lineRule="auto"/>
              <w:rPr>
                <w:rFonts w:eastAsia="Times New Roman" w:cstheme="minorHAnsi"/>
                <w:sz w:val="20"/>
                <w:szCs w:val="20"/>
              </w:rPr>
            </w:pPr>
            <w:r>
              <w:rPr>
                <w:sz w:val="20"/>
              </w:rPr>
              <w:t>L’organisation assure</w:t>
            </w:r>
            <w:r w:rsidR="00EC2967">
              <w:rPr>
                <w:sz w:val="20"/>
              </w:rPr>
              <w:t xml:space="preserve">-t-elle </w:t>
            </w:r>
            <w:r>
              <w:rPr>
                <w:sz w:val="20"/>
              </w:rPr>
              <w:t xml:space="preserve">une coordination </w:t>
            </w:r>
            <w:r w:rsidR="00EC2967">
              <w:rPr>
                <w:sz w:val="20"/>
              </w:rPr>
              <w:t>avec le gouvernement ou les autorités</w:t>
            </w:r>
            <w:r w:rsidR="00BA0143">
              <w:rPr>
                <w:sz w:val="20"/>
              </w:rPr>
              <w:t> </w:t>
            </w:r>
            <w:r w:rsidR="00EC2967">
              <w:rPr>
                <w:sz w:val="20"/>
              </w:rPr>
              <w:t>?</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0B406307" w14:textId="0A6338EB"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248D7EDE" w14:textId="77777777" w:rsidTr="00966A6E">
        <w:trPr>
          <w:trHeight w:val="20"/>
        </w:trPr>
        <w:tc>
          <w:tcPr>
            <w:tcW w:w="4611" w:type="dxa"/>
            <w:tcBorders>
              <w:top w:val="nil"/>
              <w:left w:val="single" w:sz="4" w:space="0" w:color="9D9D9C"/>
              <w:bottom w:val="nil"/>
              <w:right w:val="nil"/>
            </w:tcBorders>
            <w:vAlign w:val="center"/>
            <w:hideMark/>
          </w:tcPr>
          <w:p w14:paraId="384D48AA" w14:textId="310E8645" w:rsidR="00EC2967" w:rsidRPr="00675063" w:rsidRDefault="002D57A0" w:rsidP="0091364B">
            <w:pPr>
              <w:widowControl/>
              <w:spacing w:after="120" w:line="240" w:lineRule="auto"/>
              <w:rPr>
                <w:rFonts w:eastAsia="Times New Roman" w:cstheme="minorHAnsi"/>
                <w:sz w:val="20"/>
                <w:szCs w:val="20"/>
              </w:rPr>
            </w:pPr>
            <w:r>
              <w:rPr>
                <w:sz w:val="20"/>
              </w:rPr>
              <w:t xml:space="preserve">L’organisation </w:t>
            </w:r>
            <w:r w:rsidR="000B5717">
              <w:rPr>
                <w:sz w:val="20"/>
              </w:rPr>
              <w:t xml:space="preserve">participe-t-elle à </w:t>
            </w:r>
            <w:r w:rsidR="000B5717" w:rsidRPr="000B5717">
              <w:rPr>
                <w:sz w:val="20"/>
              </w:rPr>
              <w:t>des processus publics ou politiques (discussions ou décisions budgétaires ou politiques des autorités nationales et locales)</w:t>
            </w:r>
            <w:r w:rsidR="00BA0143">
              <w:rPr>
                <w:sz w:val="20"/>
              </w:rPr>
              <w:t> </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7E98484" w14:textId="1B8B49E5"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310E285" w14:textId="77777777" w:rsidTr="00966A6E">
        <w:trPr>
          <w:trHeight w:val="20"/>
        </w:trPr>
        <w:tc>
          <w:tcPr>
            <w:tcW w:w="4611" w:type="dxa"/>
            <w:tcBorders>
              <w:top w:val="nil"/>
              <w:left w:val="nil"/>
              <w:bottom w:val="nil"/>
              <w:right w:val="nil"/>
            </w:tcBorders>
            <w:shd w:val="clear" w:color="auto" w:fill="9D9D9C"/>
            <w:vAlign w:val="center"/>
            <w:hideMark/>
          </w:tcPr>
          <w:p w14:paraId="6348C5FD"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Information et sensibilisation</w:t>
            </w:r>
          </w:p>
        </w:tc>
        <w:tc>
          <w:tcPr>
            <w:tcW w:w="5379" w:type="dxa"/>
            <w:tcBorders>
              <w:top w:val="nil"/>
              <w:left w:val="nil"/>
              <w:bottom w:val="nil"/>
              <w:right w:val="nil"/>
            </w:tcBorders>
            <w:shd w:val="clear" w:color="auto" w:fill="9D9D9C"/>
            <w:vAlign w:val="center"/>
            <w:hideMark/>
          </w:tcPr>
          <w:p w14:paraId="79E075B7"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1B91BD97" w14:textId="77777777" w:rsidTr="00966A6E">
        <w:trPr>
          <w:trHeight w:val="144"/>
        </w:trPr>
        <w:tc>
          <w:tcPr>
            <w:tcW w:w="4611" w:type="dxa"/>
            <w:tcBorders>
              <w:top w:val="nil"/>
              <w:left w:val="single" w:sz="4" w:space="0" w:color="9D9D9C"/>
              <w:bottom w:val="single" w:sz="4" w:space="0" w:color="9D9D9C"/>
              <w:right w:val="nil"/>
            </w:tcBorders>
            <w:vAlign w:val="center"/>
            <w:hideMark/>
          </w:tcPr>
          <w:p w14:paraId="29CED7AB" w14:textId="1A144756" w:rsidR="00EC2967" w:rsidRPr="00675063" w:rsidRDefault="00BC19B8" w:rsidP="0091364B">
            <w:pPr>
              <w:widowControl/>
              <w:spacing w:after="120" w:line="240" w:lineRule="auto"/>
              <w:rPr>
                <w:rFonts w:eastAsia="Times New Roman" w:cstheme="minorHAnsi"/>
                <w:sz w:val="20"/>
                <w:szCs w:val="20"/>
              </w:rPr>
            </w:pPr>
            <w:r>
              <w:rPr>
                <w:sz w:val="20"/>
              </w:rPr>
              <w:t>L’</w:t>
            </w:r>
            <w:r w:rsidR="00EC2967">
              <w:rPr>
                <w:sz w:val="20"/>
              </w:rPr>
              <w:t>organisation produit-elle régulièrement des documents d’information</w:t>
            </w:r>
            <w:r w:rsidR="00BA0143">
              <w:rPr>
                <w:sz w:val="20"/>
              </w:rPr>
              <w:t> </w:t>
            </w:r>
            <w:r w:rsidR="00EC2967">
              <w:rPr>
                <w:sz w:val="20"/>
              </w:rPr>
              <w:t xml:space="preserve">? Si oui, veuillez </w:t>
            </w:r>
            <w:r w:rsidR="00B30C76">
              <w:rPr>
                <w:sz w:val="20"/>
              </w:rPr>
              <w:t>préciser</w:t>
            </w:r>
            <w:r w:rsidR="00EC2967">
              <w:rPr>
                <w:sz w:val="20"/>
              </w:rPr>
              <w:t>.</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7F347C4E" w14:textId="26FF84E6" w:rsidR="00EC2967" w:rsidRPr="00713342" w:rsidRDefault="00EC2967" w:rsidP="0091364B">
            <w:pPr>
              <w:widowControl/>
              <w:spacing w:after="120" w:line="240" w:lineRule="auto"/>
              <w:rPr>
                <w:rFonts w:eastAsia="Times New Roman" w:cstheme="minorHAnsi"/>
                <w:sz w:val="20"/>
                <w:szCs w:val="20"/>
                <w:lang w:eastAsia="en-GB"/>
              </w:rPr>
            </w:pPr>
          </w:p>
        </w:tc>
      </w:tr>
      <w:tr w:rsidR="00EA457F" w:rsidRPr="00675063" w14:paraId="35828707"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41230A12" w14:textId="2D98444A" w:rsidR="00EC2967" w:rsidRPr="00675063" w:rsidRDefault="00BC19B8" w:rsidP="0091364B">
            <w:pPr>
              <w:widowControl/>
              <w:spacing w:after="120" w:line="240" w:lineRule="auto"/>
              <w:rPr>
                <w:rFonts w:eastAsia="Times New Roman" w:cstheme="minorHAnsi"/>
                <w:sz w:val="20"/>
                <w:szCs w:val="20"/>
              </w:rPr>
            </w:pPr>
            <w:r>
              <w:rPr>
                <w:sz w:val="20"/>
              </w:rPr>
              <w:t>L’organisation tient</w:t>
            </w:r>
            <w:r w:rsidR="00EC2967">
              <w:rPr>
                <w:sz w:val="20"/>
              </w:rPr>
              <w:t xml:space="preserve">-elle des </w:t>
            </w:r>
            <w:r>
              <w:rPr>
                <w:sz w:val="20"/>
              </w:rPr>
              <w:t xml:space="preserve">manifestations </w:t>
            </w:r>
            <w:r w:rsidR="00713342">
              <w:rPr>
                <w:sz w:val="20"/>
              </w:rPr>
              <w:t>publi</w:t>
            </w:r>
            <w:r>
              <w:rPr>
                <w:sz w:val="20"/>
              </w:rPr>
              <w:t>que</w:t>
            </w:r>
            <w:r w:rsidR="00713342">
              <w:rPr>
                <w:sz w:val="20"/>
              </w:rPr>
              <w:t>s</w:t>
            </w:r>
            <w:r w:rsidR="00EC2967">
              <w:rPr>
                <w:sz w:val="20"/>
              </w:rPr>
              <w:t xml:space="preserve"> </w:t>
            </w:r>
            <w:r w:rsidR="00C566ED">
              <w:rPr>
                <w:sz w:val="20"/>
              </w:rPr>
              <w:t>à des fins de collecte de fonds</w:t>
            </w:r>
            <w:r w:rsidR="00EC2967">
              <w:rPr>
                <w:sz w:val="20"/>
              </w:rPr>
              <w:t xml:space="preserve"> ou </w:t>
            </w:r>
            <w:r w:rsidR="00C566ED">
              <w:rPr>
                <w:sz w:val="20"/>
              </w:rPr>
              <w:t>autre</w:t>
            </w:r>
            <w:r w:rsidR="00BA0143">
              <w:rPr>
                <w:sz w:val="20"/>
              </w:rPr>
              <w:t> </w:t>
            </w:r>
            <w:r w:rsidR="00EC2967">
              <w:rPr>
                <w:sz w:val="20"/>
              </w:rPr>
              <w:t xml:space="preserve">? Si oui, veuillez </w:t>
            </w:r>
            <w:r w:rsidR="00B30C76">
              <w:rPr>
                <w:sz w:val="20"/>
              </w:rPr>
              <w:t>préciser</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78462190" w14:textId="5B186DF4" w:rsidR="00EC2967" w:rsidRPr="00713342" w:rsidRDefault="00EC2967" w:rsidP="0091364B">
            <w:pPr>
              <w:widowControl/>
              <w:spacing w:after="120" w:line="240" w:lineRule="auto"/>
              <w:rPr>
                <w:rFonts w:eastAsia="Times New Roman" w:cstheme="minorHAnsi"/>
                <w:sz w:val="20"/>
                <w:szCs w:val="20"/>
                <w:lang w:eastAsia="en-GB"/>
              </w:rPr>
            </w:pPr>
          </w:p>
        </w:tc>
      </w:tr>
      <w:tr w:rsidR="00EA457F" w:rsidRPr="00675063" w14:paraId="23BFC0D5"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6B82D8CE" w14:textId="7192B204" w:rsidR="00EC2967" w:rsidRPr="00675063" w:rsidRDefault="00C566ED" w:rsidP="0091364B">
            <w:pPr>
              <w:widowControl/>
              <w:spacing w:after="120" w:line="240" w:lineRule="auto"/>
              <w:rPr>
                <w:rFonts w:eastAsia="Times New Roman" w:cstheme="minorHAnsi"/>
                <w:sz w:val="20"/>
                <w:szCs w:val="20"/>
              </w:rPr>
            </w:pPr>
            <w:r>
              <w:rPr>
                <w:sz w:val="20"/>
              </w:rPr>
              <w:t>L’organisation recourt-</w:t>
            </w:r>
            <w:r w:rsidR="00EC2967">
              <w:rPr>
                <w:sz w:val="20"/>
              </w:rPr>
              <w:t xml:space="preserve">elle </w:t>
            </w:r>
            <w:r>
              <w:rPr>
                <w:sz w:val="20"/>
              </w:rPr>
              <w:t xml:space="preserve">aux </w:t>
            </w:r>
            <w:r w:rsidR="00EC2967">
              <w:rPr>
                <w:sz w:val="20"/>
              </w:rPr>
              <w:t>médias</w:t>
            </w:r>
            <w:r w:rsidR="00BA0143">
              <w:rPr>
                <w:sz w:val="20"/>
              </w:rPr>
              <w:t> </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15C438B2" w14:textId="533F1EFA"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5084BD3"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0E557FC0" w14:textId="3ABD9D48" w:rsidR="00EC2967" w:rsidRPr="00675063" w:rsidRDefault="00B30C76" w:rsidP="0091364B">
            <w:pPr>
              <w:widowControl/>
              <w:spacing w:after="120" w:line="240" w:lineRule="auto"/>
              <w:rPr>
                <w:rFonts w:eastAsia="Times New Roman" w:cstheme="minorHAnsi"/>
                <w:sz w:val="20"/>
                <w:szCs w:val="20"/>
              </w:rPr>
            </w:pPr>
            <w:r>
              <w:rPr>
                <w:sz w:val="20"/>
              </w:rPr>
              <w:t>L’organisation c</w:t>
            </w:r>
            <w:r w:rsidR="00EC2967">
              <w:rPr>
                <w:sz w:val="20"/>
              </w:rPr>
              <w:t>onsidère-t-elle les efforts de sensibilisation comme un pilier de son action</w:t>
            </w:r>
            <w:r w:rsidR="00BA0143">
              <w:rPr>
                <w:sz w:val="20"/>
              </w:rPr>
              <w:t> </w:t>
            </w:r>
            <w:r w:rsidR="00EC2967">
              <w:rPr>
                <w:sz w:val="20"/>
              </w:rPr>
              <w:t xml:space="preserve">? Si oui, veuillez </w:t>
            </w:r>
            <w:r>
              <w:rPr>
                <w:sz w:val="20"/>
              </w:rPr>
              <w:t>préciser</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112B076" w14:textId="26A1638A" w:rsidR="00EC2967" w:rsidRPr="00E950BC" w:rsidRDefault="00EC2967" w:rsidP="0091364B">
            <w:pPr>
              <w:widowControl/>
              <w:spacing w:after="120" w:line="240" w:lineRule="auto"/>
              <w:rPr>
                <w:rFonts w:eastAsia="Times New Roman" w:cstheme="minorHAnsi"/>
                <w:sz w:val="20"/>
                <w:szCs w:val="20"/>
                <w:lang w:val="fr-CH" w:eastAsia="en-GB"/>
              </w:rPr>
            </w:pPr>
          </w:p>
        </w:tc>
      </w:tr>
      <w:tr w:rsidR="00EA457F" w:rsidRPr="00675063" w14:paraId="10FC21E5" w14:textId="77777777" w:rsidTr="00966A6E">
        <w:trPr>
          <w:trHeight w:val="144"/>
        </w:trPr>
        <w:tc>
          <w:tcPr>
            <w:tcW w:w="4611" w:type="dxa"/>
            <w:tcBorders>
              <w:top w:val="nil"/>
              <w:left w:val="single" w:sz="4" w:space="0" w:color="9D9D9C"/>
              <w:bottom w:val="nil"/>
              <w:right w:val="nil"/>
            </w:tcBorders>
            <w:vAlign w:val="center"/>
            <w:hideMark/>
          </w:tcPr>
          <w:p w14:paraId="6A51B6E4" w14:textId="30520C03" w:rsidR="00EC2967" w:rsidRPr="00675063" w:rsidRDefault="00B30C76" w:rsidP="0091364B">
            <w:pPr>
              <w:widowControl/>
              <w:spacing w:after="120" w:line="240" w:lineRule="auto"/>
              <w:rPr>
                <w:rFonts w:eastAsia="Times New Roman" w:cstheme="minorHAnsi"/>
                <w:sz w:val="20"/>
                <w:szCs w:val="20"/>
              </w:rPr>
            </w:pPr>
            <w:r>
              <w:rPr>
                <w:sz w:val="20"/>
              </w:rPr>
              <w:t>L’organisation m</w:t>
            </w:r>
            <w:r w:rsidR="00EC2967">
              <w:rPr>
                <w:sz w:val="20"/>
              </w:rPr>
              <w:t xml:space="preserve">ène-t-elle des activités de </w:t>
            </w:r>
            <w:r w:rsidR="002962B8">
              <w:rPr>
                <w:sz w:val="20"/>
              </w:rPr>
              <w:t>lobbying</w:t>
            </w:r>
            <w:r w:rsidR="00BA0143">
              <w:rPr>
                <w:sz w:val="20"/>
              </w:rPr>
              <w:t> </w:t>
            </w:r>
            <w:r w:rsidR="00EC2967">
              <w:rPr>
                <w:sz w:val="20"/>
              </w:rPr>
              <w:t xml:space="preserve">? Si oui, veuillez </w:t>
            </w:r>
            <w:r>
              <w:rPr>
                <w:sz w:val="20"/>
              </w:rPr>
              <w:t>préciser</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5BE23AF1" w14:textId="238F28FB"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5D7A939" w14:textId="77777777" w:rsidTr="00966A6E">
        <w:trPr>
          <w:trHeight w:val="20"/>
        </w:trPr>
        <w:tc>
          <w:tcPr>
            <w:tcW w:w="4611" w:type="dxa"/>
            <w:tcBorders>
              <w:top w:val="nil"/>
              <w:left w:val="nil"/>
              <w:bottom w:val="nil"/>
              <w:right w:val="nil"/>
            </w:tcBorders>
            <w:shd w:val="clear" w:color="auto" w:fill="1F4E78"/>
            <w:vAlign w:val="center"/>
            <w:hideMark/>
          </w:tcPr>
          <w:p w14:paraId="194E0F91" w14:textId="18F76318"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C. CAPACIT</w:t>
            </w:r>
            <w:r w:rsidR="00713342">
              <w:rPr>
                <w:b/>
                <w:color w:val="FFFFFF"/>
                <w:sz w:val="20"/>
              </w:rPr>
              <w:t>É</w:t>
            </w:r>
            <w:r>
              <w:rPr>
                <w:b/>
                <w:color w:val="FFFFFF"/>
                <w:sz w:val="20"/>
              </w:rPr>
              <w:t>S PROGRAMMATI</w:t>
            </w:r>
            <w:r w:rsidR="00483E3D">
              <w:rPr>
                <w:b/>
                <w:color w:val="FFFFFF"/>
                <w:sz w:val="20"/>
              </w:rPr>
              <w:t>QUES</w:t>
            </w:r>
          </w:p>
        </w:tc>
        <w:tc>
          <w:tcPr>
            <w:tcW w:w="5379" w:type="dxa"/>
            <w:tcBorders>
              <w:top w:val="nil"/>
              <w:left w:val="nil"/>
              <w:bottom w:val="nil"/>
              <w:right w:val="nil"/>
            </w:tcBorders>
            <w:shd w:val="clear" w:color="auto" w:fill="1F4E78"/>
            <w:noWrap/>
            <w:vAlign w:val="center"/>
            <w:hideMark/>
          </w:tcPr>
          <w:p w14:paraId="62B7F24F" w14:textId="77777777"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024A781E" w14:textId="77777777" w:rsidTr="00966A6E">
        <w:trPr>
          <w:trHeight w:val="144"/>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7D83D874" w14:textId="5F63A654" w:rsidR="00EC2967" w:rsidRPr="00675063" w:rsidRDefault="00F05513" w:rsidP="0091364B">
            <w:pPr>
              <w:widowControl/>
              <w:spacing w:after="120" w:line="240" w:lineRule="auto"/>
              <w:rPr>
                <w:rFonts w:eastAsia="Times New Roman" w:cstheme="minorHAnsi"/>
                <w:sz w:val="20"/>
                <w:szCs w:val="20"/>
              </w:rPr>
            </w:pPr>
            <w:r>
              <w:rPr>
                <w:sz w:val="20"/>
              </w:rPr>
              <w:t>L’</w:t>
            </w:r>
            <w:r w:rsidR="00D8642B">
              <w:rPr>
                <w:sz w:val="20"/>
              </w:rPr>
              <w:t xml:space="preserve">organisation </w:t>
            </w:r>
            <w:r>
              <w:rPr>
                <w:sz w:val="20"/>
              </w:rPr>
              <w:t>a-</w:t>
            </w:r>
            <w:r w:rsidR="00D8642B">
              <w:rPr>
                <w:sz w:val="20"/>
              </w:rPr>
              <w:t>t-elle une mission et une vision officielles</w:t>
            </w:r>
            <w:r w:rsidR="00BA0143">
              <w:rPr>
                <w:sz w:val="20"/>
              </w:rPr>
              <w:t> </w:t>
            </w:r>
            <w:r w:rsidR="00D8642B">
              <w:rPr>
                <w:sz w:val="20"/>
              </w:rPr>
              <w:t xml:space="preserve">? Veuillez indiquer le lien </w:t>
            </w:r>
            <w:r w:rsidR="00713342">
              <w:rPr>
                <w:sz w:val="20"/>
              </w:rPr>
              <w:t>correspondant</w:t>
            </w:r>
            <w:r w:rsidR="00D8642B">
              <w:rPr>
                <w:sz w:val="20"/>
              </w:rPr>
              <w:t xml:space="preserve"> si cette page est accessible </w:t>
            </w:r>
            <w:r w:rsidR="002A2EA3">
              <w:rPr>
                <w:sz w:val="20"/>
              </w:rPr>
              <w:t>au public</w:t>
            </w:r>
            <w:r w:rsidR="00D8642B">
              <w:rPr>
                <w:sz w:val="20"/>
              </w:rPr>
              <w:t>.</w:t>
            </w:r>
          </w:p>
        </w:tc>
        <w:tc>
          <w:tcPr>
            <w:tcW w:w="5379" w:type="dxa"/>
            <w:tcBorders>
              <w:top w:val="single" w:sz="4" w:space="0" w:color="9D9D9C"/>
              <w:left w:val="nil"/>
              <w:bottom w:val="single" w:sz="4" w:space="0" w:color="9D9D9C"/>
              <w:right w:val="single" w:sz="4" w:space="0" w:color="9D9D9C"/>
            </w:tcBorders>
            <w:shd w:val="clear" w:color="auto" w:fill="E7E6E6"/>
            <w:vAlign w:val="center"/>
            <w:hideMark/>
          </w:tcPr>
          <w:p w14:paraId="4613D7CC" w14:textId="77777777" w:rsidR="00EC2967" w:rsidRPr="00675063" w:rsidRDefault="00EC2967" w:rsidP="0091364B">
            <w:pPr>
              <w:widowControl/>
              <w:spacing w:after="120" w:line="240" w:lineRule="auto"/>
              <w:rPr>
                <w:rFonts w:eastAsia="Times New Roman" w:cstheme="minorHAnsi"/>
                <w:sz w:val="20"/>
                <w:szCs w:val="20"/>
              </w:rPr>
            </w:pPr>
            <w:r>
              <w:rPr>
                <w:sz w:val="20"/>
              </w:rPr>
              <w:t> </w:t>
            </w:r>
          </w:p>
        </w:tc>
      </w:tr>
      <w:tr w:rsidR="00EA457F" w:rsidRPr="00675063" w14:paraId="2C52C534"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DEEC38D" w14:textId="0F7224CE" w:rsidR="00EC2967" w:rsidRPr="00675063" w:rsidRDefault="00EC2967" w:rsidP="0091364B">
            <w:pPr>
              <w:widowControl/>
              <w:spacing w:after="120" w:line="240" w:lineRule="auto"/>
              <w:rPr>
                <w:rFonts w:eastAsia="Times New Roman" w:cstheme="minorHAnsi"/>
                <w:sz w:val="20"/>
                <w:szCs w:val="20"/>
              </w:rPr>
            </w:pPr>
            <w:r>
              <w:rPr>
                <w:sz w:val="20"/>
              </w:rPr>
              <w:t xml:space="preserve">Quels sont </w:t>
            </w:r>
            <w:r w:rsidR="00141CFD">
              <w:rPr>
                <w:sz w:val="20"/>
              </w:rPr>
              <w:t>l</w:t>
            </w:r>
            <w:r>
              <w:rPr>
                <w:sz w:val="20"/>
              </w:rPr>
              <w:t>e</w:t>
            </w:r>
            <w:r w:rsidR="00141CFD">
              <w:rPr>
                <w:sz w:val="20"/>
              </w:rPr>
              <w:t>(</w:t>
            </w:r>
            <w:r>
              <w:rPr>
                <w:sz w:val="20"/>
              </w:rPr>
              <w:t>s</w:t>
            </w:r>
            <w:r w:rsidR="00141CFD">
              <w:rPr>
                <w:sz w:val="20"/>
              </w:rPr>
              <w:t>)</w:t>
            </w:r>
            <w:r>
              <w:rPr>
                <w:sz w:val="20"/>
              </w:rPr>
              <w:t xml:space="preserve"> groupe</w:t>
            </w:r>
            <w:r w:rsidR="00141CFD">
              <w:rPr>
                <w:sz w:val="20"/>
              </w:rPr>
              <w:t>(</w:t>
            </w:r>
            <w:r>
              <w:rPr>
                <w:sz w:val="20"/>
              </w:rPr>
              <w:t>s</w:t>
            </w:r>
            <w:r w:rsidR="00141CFD">
              <w:rPr>
                <w:sz w:val="20"/>
              </w:rPr>
              <w:t>)</w:t>
            </w:r>
            <w:r>
              <w:rPr>
                <w:sz w:val="20"/>
              </w:rPr>
              <w:t xml:space="preserve"> cible</w:t>
            </w:r>
            <w:r w:rsidR="00141CFD">
              <w:rPr>
                <w:sz w:val="20"/>
              </w:rPr>
              <w:t>(</w:t>
            </w:r>
            <w:r>
              <w:rPr>
                <w:sz w:val="20"/>
              </w:rPr>
              <w:t>s</w:t>
            </w:r>
            <w:r w:rsidR="00141CFD">
              <w:rPr>
                <w:sz w:val="20"/>
              </w:rPr>
              <w:t>)</w:t>
            </w:r>
            <w:r>
              <w:rPr>
                <w:sz w:val="20"/>
              </w:rPr>
              <w:t xml:space="preserve"> ou </w:t>
            </w:r>
            <w:r w:rsidR="00141CFD">
              <w:rPr>
                <w:sz w:val="20"/>
              </w:rPr>
              <w:t xml:space="preserve">les </w:t>
            </w:r>
            <w:r>
              <w:rPr>
                <w:sz w:val="20"/>
              </w:rPr>
              <w:t>bénéficiaires</w:t>
            </w:r>
            <w:r w:rsidR="00141CFD">
              <w:rPr>
                <w:sz w:val="20"/>
              </w:rPr>
              <w:t xml:space="preserve"> de l’organisation</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E7E6E6"/>
            <w:vAlign w:val="center"/>
            <w:hideMark/>
          </w:tcPr>
          <w:p w14:paraId="4BD10251"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757635B7"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E642551" w14:textId="33E7AFEF" w:rsidR="00EC2967" w:rsidRPr="00675063" w:rsidRDefault="00EC2967" w:rsidP="0091364B">
            <w:pPr>
              <w:widowControl/>
              <w:spacing w:after="120" w:line="240" w:lineRule="auto"/>
              <w:rPr>
                <w:rFonts w:eastAsia="Times New Roman" w:cstheme="minorHAnsi"/>
                <w:sz w:val="20"/>
                <w:szCs w:val="20"/>
              </w:rPr>
            </w:pPr>
            <w:r>
              <w:rPr>
                <w:sz w:val="20"/>
              </w:rPr>
              <w:lastRenderedPageBreak/>
              <w:t xml:space="preserve">Quelle est </w:t>
            </w:r>
            <w:r w:rsidR="00141CFD">
              <w:rPr>
                <w:sz w:val="20"/>
              </w:rPr>
              <w:t>l</w:t>
            </w:r>
            <w:r>
              <w:rPr>
                <w:sz w:val="20"/>
              </w:rPr>
              <w:t>a zone géographique d’intervention</w:t>
            </w:r>
            <w:r w:rsidR="006A08B8">
              <w:rPr>
                <w:sz w:val="20"/>
              </w:rPr>
              <w:t xml:space="preserve"> de l’organisation</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E7E6E6"/>
            <w:vAlign w:val="center"/>
            <w:hideMark/>
          </w:tcPr>
          <w:p w14:paraId="62F894ED" w14:textId="77777777" w:rsidR="00EC2967" w:rsidRPr="00675063" w:rsidRDefault="00EC2967" w:rsidP="0091364B">
            <w:pPr>
              <w:widowControl/>
              <w:spacing w:after="120" w:line="240" w:lineRule="auto"/>
              <w:rPr>
                <w:rFonts w:eastAsia="Times New Roman" w:cstheme="minorHAnsi"/>
                <w:sz w:val="20"/>
                <w:szCs w:val="20"/>
              </w:rPr>
            </w:pPr>
            <w:r>
              <w:rPr>
                <w:sz w:val="20"/>
              </w:rPr>
              <w:t> </w:t>
            </w:r>
          </w:p>
        </w:tc>
      </w:tr>
      <w:tr w:rsidR="00EA457F" w:rsidRPr="00675063" w14:paraId="0B87DA90"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52F7A3B7" w14:textId="0F73FF3D" w:rsidR="00EC2967" w:rsidRPr="00675063" w:rsidRDefault="00EC2967" w:rsidP="0091364B">
            <w:pPr>
              <w:widowControl/>
              <w:spacing w:after="120" w:line="240" w:lineRule="auto"/>
              <w:rPr>
                <w:rFonts w:eastAsia="Times New Roman" w:cstheme="minorHAnsi"/>
                <w:sz w:val="20"/>
                <w:szCs w:val="20"/>
              </w:rPr>
            </w:pPr>
            <w:r>
              <w:rPr>
                <w:sz w:val="20"/>
              </w:rPr>
              <w:t xml:space="preserve">Quels sont </w:t>
            </w:r>
            <w:r w:rsidR="006A08B8">
              <w:rPr>
                <w:sz w:val="20"/>
              </w:rPr>
              <w:t>l</w:t>
            </w:r>
            <w:r>
              <w:rPr>
                <w:sz w:val="20"/>
              </w:rPr>
              <w:t>es domaines programmatique</w:t>
            </w:r>
            <w:r w:rsidR="006A08B8">
              <w:rPr>
                <w:sz w:val="20"/>
              </w:rPr>
              <w:t>s de l’organisation</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E7E6E6"/>
            <w:vAlign w:val="center"/>
            <w:hideMark/>
          </w:tcPr>
          <w:p w14:paraId="0150959A"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563AD6" w:rsidRPr="00675063" w14:paraId="564AA8E3"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663AD110" w14:textId="39768CCE" w:rsidR="00563AD6" w:rsidRPr="00675063" w:rsidRDefault="006A08B8" w:rsidP="0091364B">
            <w:pPr>
              <w:widowControl/>
              <w:spacing w:after="120" w:line="240" w:lineRule="auto"/>
              <w:rPr>
                <w:rFonts w:eastAsia="Times New Roman" w:cstheme="minorHAnsi"/>
                <w:sz w:val="20"/>
                <w:szCs w:val="20"/>
              </w:rPr>
            </w:pPr>
            <w:r>
              <w:rPr>
                <w:sz w:val="20"/>
              </w:rPr>
              <w:t>L’organisation d</w:t>
            </w:r>
            <w:r w:rsidR="00563AD6">
              <w:rPr>
                <w:sz w:val="20"/>
              </w:rPr>
              <w:t>ispose-t-elle d’un registre des risques et d’un processus de gestion des risques</w:t>
            </w:r>
            <w:r w:rsidR="00BA0143">
              <w:rPr>
                <w:sz w:val="20"/>
              </w:rPr>
              <w:t> </w:t>
            </w:r>
            <w:r w:rsidR="00563AD6">
              <w:rPr>
                <w:sz w:val="20"/>
              </w:rPr>
              <w:t>?</w:t>
            </w:r>
          </w:p>
        </w:tc>
        <w:tc>
          <w:tcPr>
            <w:tcW w:w="5379" w:type="dxa"/>
            <w:tcBorders>
              <w:top w:val="nil"/>
              <w:left w:val="nil"/>
              <w:bottom w:val="single" w:sz="4" w:space="0" w:color="9D9D9C"/>
              <w:right w:val="single" w:sz="4" w:space="0" w:color="9D9D9C"/>
            </w:tcBorders>
            <w:shd w:val="clear" w:color="auto" w:fill="E7E6E6"/>
            <w:vAlign w:val="center"/>
            <w:hideMark/>
          </w:tcPr>
          <w:p w14:paraId="797345D3" w14:textId="77777777" w:rsidR="00563AD6" w:rsidRPr="00023A28" w:rsidRDefault="00563AD6" w:rsidP="0091364B">
            <w:pPr>
              <w:widowControl/>
              <w:spacing w:after="120" w:line="240" w:lineRule="auto"/>
              <w:rPr>
                <w:rFonts w:eastAsia="Times New Roman" w:cstheme="minorHAnsi"/>
                <w:color w:val="000000"/>
                <w:sz w:val="20"/>
                <w:szCs w:val="20"/>
                <w:lang w:eastAsia="en-GB"/>
              </w:rPr>
            </w:pPr>
          </w:p>
        </w:tc>
      </w:tr>
      <w:tr w:rsidR="00EA457F" w:rsidRPr="00675063" w14:paraId="7E006C61" w14:textId="77777777" w:rsidTr="00966A6E">
        <w:trPr>
          <w:trHeight w:val="144"/>
        </w:trPr>
        <w:tc>
          <w:tcPr>
            <w:tcW w:w="4611" w:type="dxa"/>
            <w:tcBorders>
              <w:top w:val="nil"/>
              <w:left w:val="nil"/>
              <w:bottom w:val="nil"/>
              <w:right w:val="nil"/>
            </w:tcBorders>
            <w:shd w:val="clear" w:color="auto" w:fill="9D9D9C"/>
            <w:vAlign w:val="center"/>
            <w:hideMark/>
          </w:tcPr>
          <w:p w14:paraId="75D880D4" w14:textId="1018CDA0" w:rsidR="00EC2967" w:rsidRPr="00675063" w:rsidRDefault="006424ED" w:rsidP="0091364B">
            <w:pPr>
              <w:widowControl/>
              <w:spacing w:after="120" w:line="240" w:lineRule="auto"/>
              <w:rPr>
                <w:rFonts w:eastAsia="Times New Roman" w:cstheme="minorHAnsi"/>
                <w:b/>
                <w:bCs/>
                <w:color w:val="FFFFFF"/>
                <w:sz w:val="20"/>
                <w:szCs w:val="20"/>
              </w:rPr>
            </w:pPr>
            <w:r>
              <w:rPr>
                <w:b/>
                <w:color w:val="FFFFFF"/>
                <w:sz w:val="20"/>
              </w:rPr>
              <w:t>Informations relatives à l</w:t>
            </w:r>
            <w:r w:rsidR="001F5C98">
              <w:rPr>
                <w:b/>
                <w:color w:val="FFFFFF"/>
                <w:sz w:val="20"/>
              </w:rPr>
              <w:t>’</w:t>
            </w:r>
            <w:r w:rsidR="00EC2967">
              <w:rPr>
                <w:b/>
                <w:color w:val="FFFFFF"/>
                <w:sz w:val="20"/>
              </w:rPr>
              <w:t>organisation</w:t>
            </w:r>
            <w:r w:rsidR="00BA0143">
              <w:rPr>
                <w:b/>
                <w:color w:val="FFFFFF"/>
                <w:sz w:val="20"/>
              </w:rPr>
              <w:t> </w:t>
            </w:r>
            <w:r w:rsidR="00EC2967">
              <w:rPr>
                <w:b/>
                <w:color w:val="FFFFFF"/>
                <w:sz w:val="20"/>
              </w:rPr>
              <w:t>:</w:t>
            </w:r>
          </w:p>
        </w:tc>
        <w:tc>
          <w:tcPr>
            <w:tcW w:w="5379" w:type="dxa"/>
            <w:tcBorders>
              <w:top w:val="nil"/>
              <w:left w:val="nil"/>
              <w:bottom w:val="nil"/>
              <w:right w:val="nil"/>
            </w:tcBorders>
            <w:shd w:val="clear" w:color="auto" w:fill="9D9D9C"/>
            <w:vAlign w:val="center"/>
            <w:hideMark/>
          </w:tcPr>
          <w:p w14:paraId="0DD34B67"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522AA947"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714ACDC1" w14:textId="0EE5413B"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E3266E">
              <w:rPr>
                <w:sz w:val="20"/>
              </w:rPr>
              <w:t>promeut</w:t>
            </w:r>
            <w:r w:rsidR="00EC2967">
              <w:rPr>
                <w:sz w:val="20"/>
              </w:rPr>
              <w:t xml:space="preserve">-elle </w:t>
            </w:r>
            <w:r w:rsidR="00E3266E">
              <w:rPr>
                <w:sz w:val="20"/>
              </w:rPr>
              <w:t>et respecte-</w:t>
            </w:r>
            <w:r w:rsidR="003E4DE4">
              <w:rPr>
                <w:sz w:val="20"/>
              </w:rPr>
              <w:t>t-</w:t>
            </w:r>
            <w:r w:rsidR="00E3266E">
              <w:rPr>
                <w:sz w:val="20"/>
              </w:rPr>
              <w:t xml:space="preserve">elle les </w:t>
            </w:r>
            <w:hyperlink r:id="rId13" w:history="1">
              <w:r w:rsidR="00EC2967">
                <w:rPr>
                  <w:rStyle w:val="Lienhypertexte"/>
                  <w:sz w:val="20"/>
                </w:rPr>
                <w:t>principes humanitaires</w:t>
              </w:r>
            </w:hyperlink>
            <w:r w:rsidR="00BA0143">
              <w:rPr>
                <w:sz w:val="20"/>
              </w:rPr>
              <w:t> </w:t>
            </w:r>
            <w:r w:rsidR="00EC2967">
              <w:rPr>
                <w:sz w:val="20"/>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5DC46384" w14:textId="3423394E"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0146BC2E" w14:textId="77777777" w:rsidTr="00966A6E">
        <w:trPr>
          <w:trHeight w:val="590"/>
        </w:trPr>
        <w:tc>
          <w:tcPr>
            <w:tcW w:w="4611" w:type="dxa"/>
            <w:tcBorders>
              <w:top w:val="nil"/>
              <w:left w:val="single" w:sz="4" w:space="0" w:color="9D9D9C"/>
              <w:bottom w:val="single" w:sz="4" w:space="0" w:color="9D9D9C"/>
              <w:right w:val="single" w:sz="4" w:space="0" w:color="9D9D9C"/>
            </w:tcBorders>
            <w:vAlign w:val="center"/>
            <w:hideMark/>
          </w:tcPr>
          <w:p w14:paraId="49ACD8F7" w14:textId="15FD6D02"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5966B8">
              <w:rPr>
                <w:sz w:val="20"/>
              </w:rPr>
              <w:t>facilite-t</w:t>
            </w:r>
            <w:r w:rsidR="00EC2967">
              <w:rPr>
                <w:sz w:val="20"/>
              </w:rPr>
              <w:t xml:space="preserve">-elle </w:t>
            </w:r>
            <w:r w:rsidR="005966B8">
              <w:rPr>
                <w:sz w:val="20"/>
              </w:rPr>
              <w:t xml:space="preserve">la fourniture d’une </w:t>
            </w:r>
            <w:r w:rsidR="00EC2967">
              <w:rPr>
                <w:sz w:val="20"/>
              </w:rPr>
              <w:t>aide de manière impartiale et fondée uniquement sur les besoins</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070C6336" w14:textId="465A3E93"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96D118D"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11ADCE9C" w14:textId="115D423B"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5966B8">
              <w:rPr>
                <w:sz w:val="20"/>
              </w:rPr>
              <w:t>o</w:t>
            </w:r>
            <w:r w:rsidR="00EC2967">
              <w:rPr>
                <w:sz w:val="20"/>
              </w:rPr>
              <w:t>père-t-elle en toute indépendance, sans que des intérêts politiques lui soient imposés</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53DBFC5B" w14:textId="0F1F740F"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5E57C75"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28473254" w14:textId="624E83D4"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072F23">
              <w:rPr>
                <w:sz w:val="20"/>
              </w:rPr>
              <w:t>promeut</w:t>
            </w:r>
            <w:r w:rsidR="00EC2967">
              <w:rPr>
                <w:sz w:val="20"/>
              </w:rPr>
              <w:t>-elle l’approche consistant à ne pas nuire</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E628DC4" w14:textId="44B41115"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724199FF"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3FE46FB1" w14:textId="7D66A1E6"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072F23">
              <w:rPr>
                <w:sz w:val="20"/>
              </w:rPr>
              <w:t>dispose</w:t>
            </w:r>
            <w:r w:rsidR="00EC2967">
              <w:rPr>
                <w:sz w:val="20"/>
              </w:rPr>
              <w:t xml:space="preserve">-t-elle </w:t>
            </w:r>
            <w:r w:rsidR="00072F23">
              <w:rPr>
                <w:sz w:val="20"/>
              </w:rPr>
              <w:t>d’</w:t>
            </w:r>
            <w:r w:rsidR="00EC2967">
              <w:rPr>
                <w:sz w:val="20"/>
              </w:rPr>
              <w:t xml:space="preserve">un plan ou </w:t>
            </w:r>
            <w:r w:rsidR="00072F23">
              <w:rPr>
                <w:sz w:val="20"/>
              </w:rPr>
              <w:t>d’</w:t>
            </w:r>
            <w:r w:rsidR="00EC2967">
              <w:rPr>
                <w:sz w:val="20"/>
              </w:rPr>
              <w:t>une stratégie à long terme</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399DB550" w14:textId="4B001DDB"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3E53088"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59BDC6F8" w14:textId="60D4049A"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D076B7">
              <w:rPr>
                <w:sz w:val="20"/>
              </w:rPr>
              <w:t>e</w:t>
            </w:r>
            <w:r w:rsidR="00EC2967">
              <w:rPr>
                <w:sz w:val="20"/>
              </w:rPr>
              <w:t>st-elle dotée d’un cadre de responsabilité à l’égard des populations touchées</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tcPr>
          <w:p w14:paraId="6086F155" w14:textId="5E86427C"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223040DE"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A83A566" w14:textId="56BFC2F5"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D076B7">
              <w:rPr>
                <w:sz w:val="20"/>
              </w:rPr>
              <w:t>d</w:t>
            </w:r>
            <w:r w:rsidR="00EC2967">
              <w:rPr>
                <w:sz w:val="20"/>
              </w:rPr>
              <w:t>ispose-t-elle d’un code de conduite ou d’un</w:t>
            </w:r>
            <w:r w:rsidR="001E1668">
              <w:rPr>
                <w:sz w:val="20"/>
              </w:rPr>
              <w:t>e</w:t>
            </w:r>
            <w:r w:rsidR="00EC2967">
              <w:rPr>
                <w:sz w:val="20"/>
              </w:rPr>
              <w:t xml:space="preserve"> autre </w:t>
            </w:r>
            <w:r w:rsidR="001E1668">
              <w:rPr>
                <w:sz w:val="20"/>
              </w:rPr>
              <w:t xml:space="preserve">politique en matière </w:t>
            </w:r>
            <w:r w:rsidR="00C66661">
              <w:rPr>
                <w:sz w:val="20"/>
              </w:rPr>
              <w:t>d’éthique</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276D2BA6" w14:textId="6BD8D7B6"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FAD5FA0" w14:textId="77777777" w:rsidTr="00966A6E">
        <w:trPr>
          <w:trHeight w:val="300"/>
        </w:trPr>
        <w:tc>
          <w:tcPr>
            <w:tcW w:w="4611" w:type="dxa"/>
            <w:tcBorders>
              <w:top w:val="nil"/>
              <w:left w:val="single" w:sz="4" w:space="0" w:color="9D9D9C"/>
              <w:bottom w:val="single" w:sz="4" w:space="0" w:color="9D9D9C"/>
              <w:right w:val="single" w:sz="4" w:space="0" w:color="9D9D9C"/>
            </w:tcBorders>
            <w:vAlign w:val="center"/>
            <w:hideMark/>
          </w:tcPr>
          <w:p w14:paraId="30355C04" w14:textId="44C22D5B" w:rsidR="00EC2967" w:rsidRPr="00675063" w:rsidRDefault="006424ED" w:rsidP="6889AA8D">
            <w:pPr>
              <w:widowControl/>
              <w:spacing w:after="120" w:line="240" w:lineRule="auto"/>
              <w:rPr>
                <w:rFonts w:eastAsia="Times New Roman"/>
                <w:sz w:val="20"/>
                <w:szCs w:val="20"/>
              </w:rPr>
            </w:pPr>
            <w:r>
              <w:rPr>
                <w:sz w:val="20"/>
              </w:rPr>
              <w:t xml:space="preserve">L’organisation </w:t>
            </w:r>
            <w:r w:rsidR="00EC6B49">
              <w:rPr>
                <w:sz w:val="20"/>
              </w:rPr>
              <w:t>a</w:t>
            </w:r>
            <w:r w:rsidR="00EC2967">
              <w:rPr>
                <w:sz w:val="20"/>
              </w:rPr>
              <w:t>-t-elle adopté des politiques et des procédures pour prévenir l’exploitation et les atteintes sexuelles</w:t>
            </w:r>
            <w:r w:rsidR="00EC6B49">
              <w:rPr>
                <w:sz w:val="20"/>
              </w:rPr>
              <w:t xml:space="preserve"> (PSEA)</w:t>
            </w:r>
            <w:r w:rsidR="00BA0143">
              <w:rPr>
                <w:sz w:val="20"/>
              </w:rPr>
              <w:t> </w:t>
            </w:r>
            <w:r w:rsidR="00EC2967">
              <w:rPr>
                <w:sz w:val="20"/>
              </w:rPr>
              <w:t xml:space="preserve">? </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0A17D75A" w14:textId="78D84957" w:rsidR="00EC2967" w:rsidRPr="00023A28" w:rsidRDefault="00EC2967" w:rsidP="0091364B">
            <w:pPr>
              <w:widowControl/>
              <w:spacing w:after="120" w:line="240" w:lineRule="auto"/>
              <w:rPr>
                <w:rFonts w:eastAsia="Times New Roman" w:cstheme="minorHAnsi"/>
                <w:sz w:val="20"/>
                <w:szCs w:val="20"/>
                <w:lang w:eastAsia="en-GB"/>
              </w:rPr>
            </w:pPr>
          </w:p>
        </w:tc>
      </w:tr>
      <w:tr w:rsidR="6889AA8D" w14:paraId="1B7795F4" w14:textId="77777777" w:rsidTr="00A66CC3">
        <w:trPr>
          <w:trHeight w:val="819"/>
        </w:trPr>
        <w:tc>
          <w:tcPr>
            <w:tcW w:w="4611" w:type="dxa"/>
            <w:tcBorders>
              <w:top w:val="nil"/>
              <w:left w:val="single" w:sz="4" w:space="0" w:color="9D9D9C"/>
              <w:bottom w:val="single" w:sz="4" w:space="0" w:color="9D9D9C"/>
              <w:right w:val="single" w:sz="4" w:space="0" w:color="9D9D9C"/>
            </w:tcBorders>
            <w:vAlign w:val="center"/>
            <w:hideMark/>
          </w:tcPr>
          <w:p w14:paraId="3A07C578" w14:textId="114F7923" w:rsidR="6889AA8D" w:rsidRPr="00023A28" w:rsidRDefault="2C7DBAB6" w:rsidP="6889AA8D">
            <w:pPr>
              <w:spacing w:line="240" w:lineRule="auto"/>
              <w:rPr>
                <w:rFonts w:ascii="Segoe UI" w:eastAsia="Segoe UI" w:hAnsi="Segoe UI" w:cs="Segoe UI"/>
                <w:color w:val="333333"/>
                <w:sz w:val="18"/>
                <w:szCs w:val="18"/>
              </w:rPr>
            </w:pPr>
            <w:r>
              <w:rPr>
                <w:sz w:val="20"/>
              </w:rPr>
              <w:t xml:space="preserve">Comment </w:t>
            </w:r>
            <w:r w:rsidR="006424ED">
              <w:rPr>
                <w:sz w:val="20"/>
              </w:rPr>
              <w:t xml:space="preserve">l’organisation </w:t>
            </w:r>
            <w:r>
              <w:rPr>
                <w:sz w:val="20"/>
              </w:rPr>
              <w:t xml:space="preserve">lutte-t-elle contre l’exploitation et les atteintes sexuelles </w:t>
            </w:r>
            <w:r w:rsidR="00BF3F18">
              <w:rPr>
                <w:sz w:val="20"/>
              </w:rPr>
              <w:t xml:space="preserve">en </w:t>
            </w:r>
            <w:r>
              <w:rPr>
                <w:sz w:val="20"/>
              </w:rPr>
              <w:t>interne et auprès des populations qu’elle sert</w:t>
            </w:r>
            <w:r w:rsidR="00BA0143">
              <w:rPr>
                <w:sz w:val="20"/>
              </w:rPr>
              <w:t> </w:t>
            </w:r>
            <w:r>
              <w:rPr>
                <w:sz w:val="20"/>
              </w:rPr>
              <w:t>?</w:t>
            </w:r>
          </w:p>
          <w:p w14:paraId="4EFD1256" w14:textId="5C85B8FC" w:rsidR="6889AA8D" w:rsidRPr="00023A28" w:rsidRDefault="6889AA8D" w:rsidP="6889AA8D">
            <w:pPr>
              <w:spacing w:line="240" w:lineRule="auto"/>
              <w:rPr>
                <w:rFonts w:ascii="Segoe UI" w:eastAsia="Segoe UI" w:hAnsi="Segoe UI" w:cs="Segoe UI"/>
                <w:color w:val="333333"/>
                <w:sz w:val="18"/>
                <w:szCs w:val="18"/>
              </w:rPr>
            </w:pP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520D0D7C" w14:textId="53D5AE36" w:rsidR="6889AA8D" w:rsidRPr="00023A28" w:rsidRDefault="6889AA8D" w:rsidP="6889AA8D">
            <w:pPr>
              <w:spacing w:line="240" w:lineRule="auto"/>
              <w:rPr>
                <w:rFonts w:eastAsia="Times New Roman"/>
                <w:sz w:val="20"/>
                <w:szCs w:val="20"/>
                <w:lang w:eastAsia="en-GB"/>
              </w:rPr>
            </w:pPr>
          </w:p>
        </w:tc>
      </w:tr>
      <w:tr w:rsidR="00EA457F" w:rsidRPr="00675063" w14:paraId="70826874" w14:textId="77777777" w:rsidTr="00966A6E">
        <w:trPr>
          <w:trHeight w:val="20"/>
        </w:trPr>
        <w:tc>
          <w:tcPr>
            <w:tcW w:w="4611" w:type="dxa"/>
            <w:tcBorders>
              <w:top w:val="nil"/>
              <w:left w:val="nil"/>
              <w:bottom w:val="nil"/>
              <w:right w:val="nil"/>
            </w:tcBorders>
            <w:shd w:val="clear" w:color="auto" w:fill="1F4E78"/>
            <w:vAlign w:val="center"/>
            <w:hideMark/>
          </w:tcPr>
          <w:p w14:paraId="58587C97" w14:textId="7818201F"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D. CAPACIT</w:t>
            </w:r>
            <w:r w:rsidR="00713342">
              <w:rPr>
                <w:b/>
                <w:color w:val="FFFFFF"/>
                <w:sz w:val="20"/>
              </w:rPr>
              <w:t>É</w:t>
            </w:r>
            <w:r>
              <w:rPr>
                <w:b/>
                <w:color w:val="FFFFFF"/>
                <w:sz w:val="20"/>
              </w:rPr>
              <w:t>S FINANCI</w:t>
            </w:r>
            <w:r w:rsidR="00713342">
              <w:rPr>
                <w:b/>
                <w:color w:val="FFFFFF"/>
                <w:sz w:val="20"/>
              </w:rPr>
              <w:t>È</w:t>
            </w:r>
            <w:r>
              <w:rPr>
                <w:b/>
                <w:color w:val="FFFFFF"/>
                <w:sz w:val="20"/>
              </w:rPr>
              <w:t>RES</w:t>
            </w:r>
          </w:p>
        </w:tc>
        <w:tc>
          <w:tcPr>
            <w:tcW w:w="5379" w:type="dxa"/>
            <w:tcBorders>
              <w:top w:val="nil"/>
              <w:left w:val="nil"/>
              <w:bottom w:val="nil"/>
              <w:right w:val="nil"/>
            </w:tcBorders>
            <w:shd w:val="clear" w:color="auto" w:fill="1F4E78"/>
            <w:noWrap/>
            <w:vAlign w:val="center"/>
            <w:hideMark/>
          </w:tcPr>
          <w:p w14:paraId="55B088F1" w14:textId="77777777"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 </w:t>
            </w:r>
          </w:p>
        </w:tc>
      </w:tr>
      <w:tr w:rsidR="00EA457F" w:rsidRPr="00675063" w14:paraId="41C000F5" w14:textId="77777777" w:rsidTr="00966A6E">
        <w:trPr>
          <w:trHeight w:val="432"/>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55EE215A" w14:textId="428F4A83" w:rsidR="00EC2967" w:rsidRPr="00675063" w:rsidRDefault="00EC2967" w:rsidP="0091364B">
            <w:pPr>
              <w:widowControl/>
              <w:spacing w:after="120" w:line="240" w:lineRule="auto"/>
              <w:rPr>
                <w:rFonts w:eastAsia="Times New Roman" w:cstheme="minorHAnsi"/>
                <w:sz w:val="20"/>
                <w:szCs w:val="20"/>
              </w:rPr>
            </w:pPr>
            <w:r>
              <w:rPr>
                <w:sz w:val="20"/>
              </w:rPr>
              <w:t xml:space="preserve">Quels donateurs soutiennent actuellement les activités programmatiques de </w:t>
            </w:r>
            <w:r w:rsidR="00F20CB5">
              <w:rPr>
                <w:sz w:val="20"/>
              </w:rPr>
              <w:t>l’</w:t>
            </w:r>
            <w:r>
              <w:rPr>
                <w:sz w:val="20"/>
              </w:rPr>
              <w:t>organisation</w:t>
            </w:r>
            <w:r w:rsidR="00BA0143">
              <w:rPr>
                <w:sz w:val="20"/>
              </w:rPr>
              <w:t> </w:t>
            </w:r>
            <w:r>
              <w:rPr>
                <w:sz w:val="20"/>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2B82533C"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08734313"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7DF1A0E0" w14:textId="0A439727" w:rsidR="00EC2967" w:rsidRPr="00675063" w:rsidRDefault="00EC2967" w:rsidP="0091364B">
            <w:pPr>
              <w:widowControl/>
              <w:spacing w:after="120" w:line="240" w:lineRule="auto"/>
              <w:rPr>
                <w:rFonts w:eastAsia="Times New Roman" w:cstheme="minorHAnsi"/>
                <w:sz w:val="20"/>
                <w:szCs w:val="20"/>
              </w:rPr>
            </w:pPr>
            <w:r>
              <w:rPr>
                <w:sz w:val="20"/>
              </w:rPr>
              <w:t>Quel est le budget global actuel des activités</w:t>
            </w:r>
            <w:r w:rsidR="00F20CB5">
              <w:rPr>
                <w:sz w:val="20"/>
              </w:rPr>
              <w:t xml:space="preserve"> de l’organisation</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39B5A477"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2CA99AF4" w14:textId="77777777" w:rsidTr="00966A6E">
        <w:trPr>
          <w:trHeight w:val="840"/>
        </w:trPr>
        <w:tc>
          <w:tcPr>
            <w:tcW w:w="4611" w:type="dxa"/>
            <w:tcBorders>
              <w:top w:val="nil"/>
              <w:left w:val="single" w:sz="4" w:space="0" w:color="9D9D9C"/>
              <w:bottom w:val="single" w:sz="4" w:space="0" w:color="9D9D9C"/>
              <w:right w:val="single" w:sz="4" w:space="0" w:color="9D9D9C"/>
            </w:tcBorders>
            <w:vAlign w:val="center"/>
            <w:hideMark/>
          </w:tcPr>
          <w:p w14:paraId="48E0DB36" w14:textId="645C3037" w:rsidR="00EC2967" w:rsidRPr="00675063" w:rsidRDefault="00F20CB5" w:rsidP="0091364B">
            <w:pPr>
              <w:widowControl/>
              <w:spacing w:after="120" w:line="240" w:lineRule="auto"/>
              <w:rPr>
                <w:rFonts w:eastAsia="Times New Roman" w:cstheme="minorHAnsi"/>
                <w:sz w:val="20"/>
                <w:szCs w:val="20"/>
              </w:rPr>
            </w:pPr>
            <w:r>
              <w:rPr>
                <w:sz w:val="20"/>
              </w:rPr>
              <w:t>L’organisation a</w:t>
            </w:r>
            <w:r w:rsidR="00EC2967">
              <w:rPr>
                <w:sz w:val="20"/>
              </w:rPr>
              <w:t>-t-elle rencontré des problèmes de liquidité ou de solvabilité au cours des trois dernières années</w:t>
            </w:r>
            <w:r w:rsidR="00BA0143">
              <w:rPr>
                <w:sz w:val="20"/>
              </w:rPr>
              <w:t> </w:t>
            </w:r>
            <w:r w:rsidR="00EC2967">
              <w:rPr>
                <w:sz w:val="20"/>
              </w:rPr>
              <w:t>? Si oui, comment ces problèmes ont-ils été résolus</w:t>
            </w:r>
            <w:r w:rsidR="00BA0143">
              <w:rPr>
                <w:sz w:val="20"/>
              </w:rPr>
              <w:t> </w:t>
            </w:r>
            <w:r w:rsidR="00EC2967">
              <w:rPr>
                <w:sz w:val="20"/>
              </w:rPr>
              <w:t xml:space="preserve">? </w:t>
            </w:r>
          </w:p>
        </w:tc>
        <w:tc>
          <w:tcPr>
            <w:tcW w:w="5379" w:type="dxa"/>
            <w:tcBorders>
              <w:top w:val="nil"/>
              <w:left w:val="nil"/>
              <w:bottom w:val="nil"/>
              <w:right w:val="nil"/>
            </w:tcBorders>
            <w:shd w:val="clear" w:color="auto" w:fill="FFFFFF" w:themeFill="background1"/>
            <w:vAlign w:val="center"/>
            <w:hideMark/>
          </w:tcPr>
          <w:p w14:paraId="75468001"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55ED3501" w14:textId="77777777" w:rsidTr="00966A6E">
        <w:trPr>
          <w:trHeight w:val="144"/>
        </w:trPr>
        <w:tc>
          <w:tcPr>
            <w:tcW w:w="4611" w:type="dxa"/>
            <w:tcBorders>
              <w:top w:val="nil"/>
              <w:left w:val="nil"/>
              <w:bottom w:val="single" w:sz="4" w:space="0" w:color="auto"/>
              <w:right w:val="nil"/>
            </w:tcBorders>
            <w:shd w:val="clear" w:color="auto" w:fill="9D9D9C"/>
            <w:vAlign w:val="center"/>
            <w:hideMark/>
          </w:tcPr>
          <w:p w14:paraId="01AA4E66"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Système de comptabilité</w:t>
            </w:r>
          </w:p>
        </w:tc>
        <w:tc>
          <w:tcPr>
            <w:tcW w:w="5379" w:type="dxa"/>
            <w:tcBorders>
              <w:top w:val="nil"/>
              <w:left w:val="nil"/>
              <w:bottom w:val="single" w:sz="4" w:space="0" w:color="auto"/>
              <w:right w:val="nil"/>
            </w:tcBorders>
            <w:shd w:val="clear" w:color="auto" w:fill="9D9D9C"/>
            <w:vAlign w:val="center"/>
            <w:hideMark/>
          </w:tcPr>
          <w:p w14:paraId="7D8E44AA"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3420E185" w14:textId="77777777" w:rsidTr="00966A6E">
        <w:trPr>
          <w:trHeight w:val="288"/>
        </w:trPr>
        <w:tc>
          <w:tcPr>
            <w:tcW w:w="4611" w:type="dxa"/>
            <w:tcBorders>
              <w:top w:val="single" w:sz="4" w:space="0" w:color="auto"/>
              <w:left w:val="single" w:sz="4" w:space="0" w:color="auto"/>
              <w:bottom w:val="single" w:sz="4" w:space="0" w:color="auto"/>
              <w:right w:val="single" w:sz="4" w:space="0" w:color="auto"/>
            </w:tcBorders>
            <w:vAlign w:val="center"/>
            <w:hideMark/>
          </w:tcPr>
          <w:p w14:paraId="08174780" w14:textId="3F0015BD" w:rsidR="00EC2967" w:rsidRPr="00675063" w:rsidRDefault="00F20CB5" w:rsidP="0091364B">
            <w:pPr>
              <w:widowControl/>
              <w:spacing w:after="120" w:line="240" w:lineRule="auto"/>
              <w:rPr>
                <w:rFonts w:eastAsia="Times New Roman" w:cstheme="minorHAnsi"/>
                <w:sz w:val="20"/>
                <w:szCs w:val="20"/>
              </w:rPr>
            </w:pPr>
            <w:r>
              <w:rPr>
                <w:sz w:val="20"/>
              </w:rPr>
              <w:t>L’</w:t>
            </w:r>
            <w:r w:rsidR="00EC2967">
              <w:rPr>
                <w:sz w:val="20"/>
              </w:rPr>
              <w:t xml:space="preserve">organisation est-elle dotée de politiques </w:t>
            </w:r>
            <w:r>
              <w:rPr>
                <w:sz w:val="20"/>
              </w:rPr>
              <w:t xml:space="preserve">précises </w:t>
            </w:r>
            <w:r w:rsidR="00FA54C8">
              <w:rPr>
                <w:sz w:val="20"/>
              </w:rPr>
              <w:t xml:space="preserve">énonçant </w:t>
            </w:r>
            <w:r w:rsidR="00EC2967">
              <w:rPr>
                <w:sz w:val="20"/>
              </w:rPr>
              <w:t>ses normes, règles et procédures en matière de comptabilité</w:t>
            </w:r>
            <w:r w:rsidR="00BA0143">
              <w:rPr>
                <w:sz w:val="20"/>
              </w:rPr>
              <w:t> </w:t>
            </w:r>
            <w:r w:rsidR="00EC2967">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EAEB4" w14:textId="72F08C02"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7D35D88"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C7872A6" w14:textId="4C3D9684" w:rsidR="00EC2967" w:rsidRPr="00675063" w:rsidRDefault="00EC2967" w:rsidP="0091364B">
            <w:pPr>
              <w:widowControl/>
              <w:spacing w:after="120" w:line="240" w:lineRule="auto"/>
              <w:rPr>
                <w:rFonts w:eastAsia="Times New Roman" w:cstheme="minorHAnsi"/>
                <w:sz w:val="20"/>
                <w:szCs w:val="20"/>
              </w:rPr>
            </w:pPr>
            <w:r>
              <w:rPr>
                <w:sz w:val="20"/>
              </w:rPr>
              <w:t xml:space="preserve">Quelles normes comptables </w:t>
            </w:r>
            <w:proofErr w:type="spellStart"/>
            <w:r>
              <w:rPr>
                <w:sz w:val="20"/>
              </w:rPr>
              <w:t>suit-elle</w:t>
            </w:r>
            <w:proofErr w:type="spellEnd"/>
            <w:r>
              <w:rPr>
                <w:sz w:val="20"/>
              </w:rPr>
              <w:t xml:space="preserve"> (IPSAS, IFRS ou r</w:t>
            </w:r>
            <w:r w:rsidR="00BF70F4">
              <w:rPr>
                <w:sz w:val="20"/>
              </w:rPr>
              <w:t>é</w:t>
            </w:r>
            <w:r>
              <w:rPr>
                <w:sz w:val="20"/>
              </w:rPr>
              <w:t>glementation nationale)</w:t>
            </w:r>
            <w:r w:rsidR="00BA0143">
              <w:rPr>
                <w:sz w:val="20"/>
              </w:rPr>
              <w:t> </w:t>
            </w:r>
            <w:r>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2F88"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152BE433"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42B7FE2D" w14:textId="2A878756" w:rsidR="00EC2967" w:rsidRPr="00675063" w:rsidRDefault="00EC2967" w:rsidP="0091364B">
            <w:pPr>
              <w:widowControl/>
              <w:spacing w:after="120" w:line="240" w:lineRule="auto"/>
              <w:rPr>
                <w:rFonts w:eastAsia="Times New Roman" w:cstheme="minorHAnsi"/>
                <w:sz w:val="20"/>
                <w:szCs w:val="20"/>
              </w:rPr>
            </w:pPr>
            <w:r>
              <w:rPr>
                <w:sz w:val="20"/>
              </w:rPr>
              <w:t xml:space="preserve">Quel logiciel de comptabilité </w:t>
            </w:r>
            <w:r w:rsidR="00F874EA">
              <w:rPr>
                <w:sz w:val="20"/>
              </w:rPr>
              <w:t xml:space="preserve">l’organisation </w:t>
            </w:r>
            <w:r>
              <w:rPr>
                <w:sz w:val="20"/>
              </w:rPr>
              <w:t>utilise</w:t>
            </w:r>
            <w:r w:rsidR="00EC1B0F">
              <w:rPr>
                <w:sz w:val="20"/>
              </w:rPr>
              <w:noBreakHyphen/>
              <w:t>t</w:t>
            </w:r>
            <w:r w:rsidR="00EC1B0F">
              <w:rPr>
                <w:sz w:val="20"/>
              </w:rPr>
              <w:noBreakHyphen/>
              <w:t>el</w:t>
            </w:r>
            <w:r>
              <w:rPr>
                <w:sz w:val="20"/>
              </w:rPr>
              <w:t>le et celui-ci est-il intégré à d’autres fonctions (par exemple, ressources humaines ou achats)</w:t>
            </w:r>
            <w:r w:rsidR="00BA0143">
              <w:rPr>
                <w:sz w:val="20"/>
              </w:rPr>
              <w:t> </w:t>
            </w:r>
            <w:r>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EE109"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3E4CFBE8" w14:textId="77777777" w:rsidTr="00966A6E">
        <w:trPr>
          <w:trHeight w:val="1008"/>
        </w:trPr>
        <w:tc>
          <w:tcPr>
            <w:tcW w:w="4611" w:type="dxa"/>
            <w:tcBorders>
              <w:top w:val="single" w:sz="4" w:space="0" w:color="auto"/>
              <w:left w:val="single" w:sz="4" w:space="0" w:color="auto"/>
              <w:bottom w:val="single" w:sz="4" w:space="0" w:color="auto"/>
              <w:right w:val="single" w:sz="4" w:space="0" w:color="auto"/>
            </w:tcBorders>
            <w:vAlign w:val="center"/>
            <w:hideMark/>
          </w:tcPr>
          <w:p w14:paraId="4FDE2868" w14:textId="5D7222B0" w:rsidR="00EC2967" w:rsidRPr="00F31902" w:rsidRDefault="00EC2967" w:rsidP="0091364B">
            <w:pPr>
              <w:widowControl/>
              <w:spacing w:after="120" w:line="240" w:lineRule="auto"/>
              <w:rPr>
                <w:sz w:val="20"/>
              </w:rPr>
            </w:pPr>
            <w:r>
              <w:rPr>
                <w:sz w:val="20"/>
              </w:rPr>
              <w:lastRenderedPageBreak/>
              <w:t>Quelle</w:t>
            </w:r>
            <w:r w:rsidR="00F874EA">
              <w:rPr>
                <w:sz w:val="20"/>
              </w:rPr>
              <w:t xml:space="preserve"> est la politique de l’organisation</w:t>
            </w:r>
            <w:r>
              <w:rPr>
                <w:sz w:val="20"/>
              </w:rPr>
              <w:t xml:space="preserve"> en matière de conservation des documents comptables et des pièces justificatives</w:t>
            </w:r>
            <w:r w:rsidR="00BA0143">
              <w:rPr>
                <w:sz w:val="20"/>
              </w:rPr>
              <w:t> </w:t>
            </w:r>
            <w:r>
              <w:rPr>
                <w:sz w:val="20"/>
              </w:rPr>
              <w:t>? Comment</w:t>
            </w:r>
            <w:r w:rsidR="00F31902">
              <w:rPr>
                <w:sz w:val="20"/>
              </w:rPr>
              <w:t xml:space="preserve"> l’organisation</w:t>
            </w:r>
            <w:r>
              <w:rPr>
                <w:sz w:val="20"/>
              </w:rPr>
              <w:t xml:space="preserve"> protège-t-elle ses archives des vols, des incendies, des inondations, etc. ? A-t-elle rencontré des difficultés à cet égard au cours des trois dernières années</w:t>
            </w:r>
            <w:r w:rsidR="00BA0143">
              <w:rPr>
                <w:sz w:val="20"/>
              </w:rPr>
              <w:t> </w:t>
            </w:r>
            <w:r>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0FA3F"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0CDCE26D" w14:textId="77777777" w:rsidTr="00966A6E">
        <w:trPr>
          <w:trHeight w:val="288"/>
        </w:trPr>
        <w:tc>
          <w:tcPr>
            <w:tcW w:w="4611" w:type="dxa"/>
            <w:tcBorders>
              <w:top w:val="single" w:sz="4" w:space="0" w:color="auto"/>
              <w:left w:val="single" w:sz="4" w:space="0" w:color="auto"/>
              <w:bottom w:val="single" w:sz="4" w:space="0" w:color="auto"/>
              <w:right w:val="single" w:sz="4" w:space="0" w:color="auto"/>
            </w:tcBorders>
            <w:vAlign w:val="center"/>
            <w:hideMark/>
          </w:tcPr>
          <w:p w14:paraId="2A68D5E3" w14:textId="4D65AAA2" w:rsidR="00EC2967" w:rsidRPr="00675063" w:rsidRDefault="003665F9" w:rsidP="0091364B">
            <w:pPr>
              <w:widowControl/>
              <w:spacing w:after="120" w:line="240" w:lineRule="auto"/>
              <w:rPr>
                <w:rFonts w:eastAsia="Times New Roman" w:cstheme="minorHAnsi"/>
                <w:sz w:val="20"/>
                <w:szCs w:val="20"/>
              </w:rPr>
            </w:pPr>
            <w:r>
              <w:rPr>
                <w:sz w:val="20"/>
              </w:rPr>
              <w:t>L’organisation c</w:t>
            </w:r>
            <w:r w:rsidR="00EC2967">
              <w:rPr>
                <w:sz w:val="20"/>
              </w:rPr>
              <w:t xml:space="preserve">omptabilise-t-elle tous ses coûts </w:t>
            </w:r>
            <w:r>
              <w:rPr>
                <w:sz w:val="20"/>
              </w:rPr>
              <w:t>en temps voulu</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240CE" w14:textId="13C37076"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77D332C1" w14:textId="77777777" w:rsidTr="00966A6E">
        <w:trPr>
          <w:trHeight w:val="576"/>
        </w:trPr>
        <w:tc>
          <w:tcPr>
            <w:tcW w:w="4611" w:type="dxa"/>
            <w:tcBorders>
              <w:top w:val="single" w:sz="4" w:space="0" w:color="auto"/>
              <w:left w:val="single" w:sz="4" w:space="0" w:color="auto"/>
              <w:bottom w:val="single" w:sz="4" w:space="0" w:color="auto"/>
              <w:right w:val="single" w:sz="4" w:space="0" w:color="auto"/>
            </w:tcBorders>
            <w:vAlign w:val="center"/>
            <w:hideMark/>
          </w:tcPr>
          <w:p w14:paraId="10E71CEF" w14:textId="247BE92E" w:rsidR="00EC2967" w:rsidRPr="00675063" w:rsidRDefault="003665F9" w:rsidP="0091364B">
            <w:pPr>
              <w:widowControl/>
              <w:spacing w:after="120" w:line="240" w:lineRule="auto"/>
              <w:rPr>
                <w:rFonts w:eastAsia="Times New Roman" w:cstheme="minorHAnsi"/>
                <w:sz w:val="20"/>
                <w:szCs w:val="20"/>
              </w:rPr>
            </w:pPr>
            <w:r>
              <w:rPr>
                <w:sz w:val="20"/>
              </w:rPr>
              <w:t>L’organisation p</w:t>
            </w:r>
            <w:r w:rsidR="00EC2967">
              <w:rPr>
                <w:sz w:val="20"/>
              </w:rPr>
              <w:t>eut-elle établir des rapports financiers périodiques au niveau des projets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AC2F" w14:textId="4BBE1D48"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A47B315"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7C4F1257"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Contrôle financier</w:t>
            </w:r>
          </w:p>
        </w:tc>
        <w:tc>
          <w:tcPr>
            <w:tcW w:w="53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007F9A1B"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581F0B41"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BAE0C16" w14:textId="54FF3ED8" w:rsidR="00EC2967" w:rsidRPr="00675063" w:rsidRDefault="003665F9" w:rsidP="0091364B">
            <w:pPr>
              <w:widowControl/>
              <w:spacing w:after="120" w:line="240" w:lineRule="auto"/>
              <w:rPr>
                <w:rFonts w:eastAsia="Times New Roman" w:cstheme="minorHAnsi"/>
                <w:sz w:val="20"/>
                <w:szCs w:val="20"/>
              </w:rPr>
            </w:pPr>
            <w:r>
              <w:rPr>
                <w:sz w:val="20"/>
              </w:rPr>
              <w:t>L’</w:t>
            </w:r>
            <w:r w:rsidR="00EC2967">
              <w:rPr>
                <w:sz w:val="20"/>
              </w:rPr>
              <w:t xml:space="preserve">organisation détient-elle un compte </w:t>
            </w:r>
            <w:r w:rsidR="00E05FC1">
              <w:rPr>
                <w:sz w:val="20"/>
              </w:rPr>
              <w:t>bancaire</w:t>
            </w:r>
            <w:r w:rsidR="00EC2967">
              <w:rPr>
                <w:sz w:val="20"/>
              </w:rPr>
              <w:t xml:space="preserve"> à son nom</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29D09" w14:textId="2BF378A2"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6A7703F1"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9FFA42A" w14:textId="22429482" w:rsidR="00EC2967" w:rsidRPr="00675063" w:rsidRDefault="008F2E05" w:rsidP="0091364B">
            <w:pPr>
              <w:widowControl/>
              <w:spacing w:after="120" w:line="240" w:lineRule="auto"/>
              <w:rPr>
                <w:rFonts w:eastAsia="Times New Roman" w:cstheme="minorHAnsi"/>
                <w:sz w:val="20"/>
                <w:szCs w:val="20"/>
              </w:rPr>
            </w:pPr>
            <w:r>
              <w:rPr>
                <w:sz w:val="20"/>
              </w:rPr>
              <w:t xml:space="preserve">L’organisation </w:t>
            </w:r>
            <w:r w:rsidR="00553D4B">
              <w:rPr>
                <w:sz w:val="20"/>
              </w:rPr>
              <w:t>a</w:t>
            </w:r>
            <w:r w:rsidR="00EC2967">
              <w:rPr>
                <w:sz w:val="20"/>
              </w:rPr>
              <w:t xml:space="preserve">-t-elle </w:t>
            </w:r>
            <w:r w:rsidR="00553D4B">
              <w:rPr>
                <w:sz w:val="20"/>
              </w:rPr>
              <w:t xml:space="preserve">établi </w:t>
            </w:r>
            <w:r w:rsidR="00EC2967">
              <w:rPr>
                <w:sz w:val="20"/>
              </w:rPr>
              <w:t>de</w:t>
            </w:r>
            <w:r w:rsidR="00553D4B">
              <w:rPr>
                <w:sz w:val="20"/>
              </w:rPr>
              <w:t>s</w:t>
            </w:r>
            <w:r w:rsidR="00EC2967">
              <w:rPr>
                <w:sz w:val="20"/>
              </w:rPr>
              <w:t xml:space="preserve"> fonctions d’audit interne</w:t>
            </w:r>
            <w:r w:rsidR="00BA0143">
              <w:rPr>
                <w:sz w:val="20"/>
              </w:rPr>
              <w:t> </w:t>
            </w:r>
            <w:r w:rsidR="00EC2967">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9BA26" w14:textId="36679D1E"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969426D"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72DF20F8" w14:textId="391C53B2" w:rsidR="00EC2967" w:rsidRPr="00675063" w:rsidRDefault="00EC2967" w:rsidP="0091364B">
            <w:pPr>
              <w:widowControl/>
              <w:spacing w:after="120" w:line="240" w:lineRule="auto"/>
              <w:rPr>
                <w:rFonts w:eastAsia="Times New Roman" w:cstheme="minorHAnsi"/>
                <w:sz w:val="20"/>
                <w:szCs w:val="20"/>
              </w:rPr>
            </w:pPr>
            <w:r>
              <w:rPr>
                <w:sz w:val="20"/>
              </w:rPr>
              <w:t xml:space="preserve">Existe-t-il une obligation </w:t>
            </w:r>
            <w:r w:rsidR="008F2E05">
              <w:rPr>
                <w:sz w:val="20"/>
              </w:rPr>
              <w:t xml:space="preserve">de vérification </w:t>
            </w:r>
            <w:r>
              <w:rPr>
                <w:sz w:val="20"/>
              </w:rPr>
              <w:t>externe réguli</w:t>
            </w:r>
            <w:r w:rsidR="008F2E05">
              <w:rPr>
                <w:sz w:val="20"/>
              </w:rPr>
              <w:t>ère</w:t>
            </w:r>
            <w:r>
              <w:rPr>
                <w:sz w:val="20"/>
              </w:rPr>
              <w:t xml:space="preserve"> des comptes de l’organisation et</w:t>
            </w:r>
            <w:r w:rsidR="008F2E05">
              <w:rPr>
                <w:sz w:val="20"/>
              </w:rPr>
              <w:t>,</w:t>
            </w:r>
            <w:r>
              <w:rPr>
                <w:sz w:val="20"/>
              </w:rPr>
              <w:t xml:space="preserve"> si oui, ces </w:t>
            </w:r>
            <w:r w:rsidR="00B351B7">
              <w:rPr>
                <w:sz w:val="20"/>
              </w:rPr>
              <w:t xml:space="preserve">vérifications </w:t>
            </w:r>
            <w:r>
              <w:rPr>
                <w:sz w:val="20"/>
              </w:rPr>
              <w:t>sont-</w:t>
            </w:r>
            <w:r w:rsidR="00B351B7">
              <w:rPr>
                <w:sz w:val="20"/>
              </w:rPr>
              <w:t>elle</w:t>
            </w:r>
            <w:r>
              <w:rPr>
                <w:sz w:val="20"/>
              </w:rPr>
              <w:t>s réalisé</w:t>
            </w:r>
            <w:r w:rsidR="00B351B7">
              <w:rPr>
                <w:sz w:val="20"/>
              </w:rPr>
              <w:t>e</w:t>
            </w:r>
            <w:r>
              <w:rPr>
                <w:sz w:val="20"/>
              </w:rPr>
              <w:t xml:space="preserve">s </w:t>
            </w:r>
            <w:r w:rsidR="00B351B7">
              <w:rPr>
                <w:sz w:val="20"/>
              </w:rPr>
              <w:t>en temps voulu</w:t>
            </w:r>
            <w:r w:rsidR="00BA0143">
              <w:rPr>
                <w:sz w:val="20"/>
              </w:rPr>
              <w:t> </w:t>
            </w:r>
            <w:r>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C3ED" w14:textId="40035F91"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85592AD" w14:textId="77777777" w:rsidTr="00966A6E">
        <w:trPr>
          <w:trHeight w:val="312"/>
        </w:trPr>
        <w:tc>
          <w:tcPr>
            <w:tcW w:w="4611" w:type="dxa"/>
            <w:tcBorders>
              <w:top w:val="single" w:sz="4" w:space="0" w:color="auto"/>
              <w:left w:val="single" w:sz="4" w:space="0" w:color="auto"/>
              <w:bottom w:val="single" w:sz="4" w:space="0" w:color="auto"/>
              <w:right w:val="single" w:sz="4" w:space="0" w:color="auto"/>
            </w:tcBorders>
            <w:vAlign w:val="center"/>
            <w:hideMark/>
          </w:tcPr>
          <w:p w14:paraId="162615A9" w14:textId="05766D6F" w:rsidR="00EC2967" w:rsidRPr="00675063" w:rsidRDefault="0048728A" w:rsidP="0091364B">
            <w:pPr>
              <w:widowControl/>
              <w:spacing w:after="120" w:line="240" w:lineRule="auto"/>
              <w:rPr>
                <w:rFonts w:eastAsia="Times New Roman" w:cstheme="minorHAnsi"/>
                <w:sz w:val="20"/>
                <w:szCs w:val="20"/>
              </w:rPr>
            </w:pPr>
            <w:r>
              <w:rPr>
                <w:sz w:val="20"/>
              </w:rPr>
              <w:t>L’</w:t>
            </w:r>
            <w:r w:rsidR="00EC2967">
              <w:rPr>
                <w:sz w:val="20"/>
              </w:rPr>
              <w:t xml:space="preserve">organisation se conforme-t-elle aux recommandations </w:t>
            </w:r>
            <w:r w:rsidR="00957A1B">
              <w:rPr>
                <w:sz w:val="20"/>
              </w:rPr>
              <w:t>issues</w:t>
            </w:r>
            <w:r w:rsidR="00EC2967">
              <w:rPr>
                <w:sz w:val="20"/>
              </w:rPr>
              <w:t xml:space="preserve"> de</w:t>
            </w:r>
            <w:r w:rsidR="00713342">
              <w:rPr>
                <w:sz w:val="20"/>
              </w:rPr>
              <w:t>s</w:t>
            </w:r>
            <w:r w:rsidR="00EC2967">
              <w:rPr>
                <w:sz w:val="20"/>
              </w:rPr>
              <w:t xml:space="preserve"> </w:t>
            </w:r>
            <w:r w:rsidR="00957A1B">
              <w:rPr>
                <w:sz w:val="20"/>
              </w:rPr>
              <w:t>vérifications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9A180" w14:textId="5C760515"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55C99264"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5E8D543" w14:textId="0288E856" w:rsidR="00EC2967" w:rsidRPr="00CC38F9" w:rsidRDefault="00EC2967" w:rsidP="0091364B">
            <w:pPr>
              <w:widowControl/>
              <w:spacing w:after="120" w:line="240" w:lineRule="auto"/>
              <w:rPr>
                <w:rFonts w:eastAsia="Times New Roman" w:cstheme="minorHAnsi"/>
                <w:sz w:val="20"/>
                <w:szCs w:val="20"/>
              </w:rPr>
            </w:pPr>
            <w:r w:rsidRPr="00CC38F9">
              <w:rPr>
                <w:sz w:val="20"/>
              </w:rPr>
              <w:t>Quel</w:t>
            </w:r>
            <w:r w:rsidR="00576827" w:rsidRPr="00CC38F9">
              <w:rPr>
                <w:sz w:val="20"/>
              </w:rPr>
              <w:t>le</w:t>
            </w:r>
            <w:r w:rsidRPr="00CC38F9">
              <w:rPr>
                <w:sz w:val="20"/>
              </w:rPr>
              <w:t xml:space="preserve">s sont les principales caractéristiques du système de contrôle interne </w:t>
            </w:r>
            <w:r w:rsidR="00957A1B" w:rsidRPr="00CC38F9">
              <w:rPr>
                <w:sz w:val="20"/>
              </w:rPr>
              <w:t>existant</w:t>
            </w:r>
            <w:r w:rsidR="00BA0143" w:rsidRPr="00CC38F9">
              <w:rPr>
                <w:sz w:val="20"/>
              </w:rPr>
              <w:t> </w:t>
            </w:r>
            <w:r w:rsidRPr="00CC38F9">
              <w:rPr>
                <w:sz w:val="20"/>
              </w:rPr>
              <w:t xml:space="preserve">? </w:t>
            </w:r>
            <w:r w:rsidR="00957A1B" w:rsidRPr="00CC38F9">
              <w:rPr>
                <w:sz w:val="20"/>
              </w:rPr>
              <w:t>L’</w:t>
            </w:r>
            <w:r w:rsidRPr="00CC38F9">
              <w:rPr>
                <w:sz w:val="20"/>
              </w:rPr>
              <w:t>organisation a-t-elle rencontré des difficultés à cet égard au cours des trois dernières années</w:t>
            </w:r>
            <w:r w:rsidR="00BA0143" w:rsidRPr="00CC38F9">
              <w:rPr>
                <w:sz w:val="20"/>
              </w:rPr>
              <w:t> </w:t>
            </w:r>
            <w:r w:rsidRPr="00CC38F9">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A19B9"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6724593C"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101EB68" w14:textId="689AC939" w:rsidR="00EC2967" w:rsidRPr="00CC38F9" w:rsidRDefault="00EC2967" w:rsidP="0091364B">
            <w:pPr>
              <w:widowControl/>
              <w:spacing w:after="120" w:line="240" w:lineRule="auto"/>
              <w:rPr>
                <w:sz w:val="20"/>
              </w:rPr>
            </w:pPr>
            <w:r w:rsidRPr="00CC38F9">
              <w:rPr>
                <w:sz w:val="20"/>
              </w:rPr>
              <w:t>Comment</w:t>
            </w:r>
            <w:r w:rsidR="00957A1B" w:rsidRPr="00CC38F9">
              <w:rPr>
                <w:sz w:val="20"/>
              </w:rPr>
              <w:t xml:space="preserve"> l’organisation</w:t>
            </w:r>
            <w:r w:rsidRPr="00CC38F9">
              <w:rPr>
                <w:sz w:val="20"/>
              </w:rPr>
              <w:t xml:space="preserve"> garantit-elle une séparation suffisante des </w:t>
            </w:r>
            <w:r w:rsidR="00CF2CEC" w:rsidRPr="00CC38F9">
              <w:rPr>
                <w:sz w:val="20"/>
              </w:rPr>
              <w:t>tâches</w:t>
            </w:r>
            <w:r w:rsidR="00BA0143" w:rsidRPr="00CC38F9">
              <w:rPr>
                <w:sz w:val="20"/>
              </w:rPr>
              <w:t> </w:t>
            </w:r>
            <w:r w:rsidRPr="00CC38F9">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0CFE5"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50DD44DB"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788032DA" w14:textId="342D10AA" w:rsidR="00EC2967" w:rsidRPr="00CC38F9" w:rsidRDefault="00A52DD3" w:rsidP="0091364B">
            <w:pPr>
              <w:widowControl/>
              <w:spacing w:after="120" w:line="240" w:lineRule="auto"/>
              <w:rPr>
                <w:rFonts w:eastAsia="Times New Roman" w:cstheme="minorHAnsi"/>
                <w:sz w:val="20"/>
                <w:szCs w:val="20"/>
              </w:rPr>
            </w:pPr>
            <w:r w:rsidRPr="00CC38F9">
              <w:rPr>
                <w:sz w:val="20"/>
              </w:rPr>
              <w:t>L’organisation a</w:t>
            </w:r>
            <w:r w:rsidR="001D0799" w:rsidRPr="00CC38F9">
              <w:rPr>
                <w:sz w:val="20"/>
              </w:rPr>
              <w:t>-t-elle un système pour éviter que les dépenses ne soient communiquées deux fois aux donateurs</w:t>
            </w:r>
            <w:r w:rsidR="00BA0143" w:rsidRPr="00CC38F9">
              <w:rPr>
                <w:sz w:val="20"/>
              </w:rPr>
              <w:t> </w:t>
            </w:r>
            <w:r w:rsidR="001D0799" w:rsidRPr="00CC38F9">
              <w:rPr>
                <w:sz w:val="20"/>
              </w:rPr>
              <w:t xml:space="preserve">? Dispose-t-elle d’un </w:t>
            </w:r>
            <w:r w:rsidR="002C604A" w:rsidRPr="00CC38F9">
              <w:rPr>
                <w:sz w:val="20"/>
              </w:rPr>
              <w:t xml:space="preserve">système de comptabilité permettant de faciliter </w:t>
            </w:r>
            <w:r w:rsidR="001D0799" w:rsidRPr="00CC38F9">
              <w:rPr>
                <w:sz w:val="20"/>
              </w:rPr>
              <w:t xml:space="preserve">les contrôles </w:t>
            </w:r>
            <w:r w:rsidRPr="00CC38F9">
              <w:rPr>
                <w:sz w:val="20"/>
              </w:rPr>
              <w:t>connexes</w:t>
            </w:r>
            <w:r w:rsidR="00121AAB" w:rsidRPr="00CC38F9">
              <w:rPr>
                <w:sz w:val="20"/>
              </w:rPr>
              <w:t xml:space="preserve"> dans le cadre des projets</w:t>
            </w:r>
            <w:r w:rsidR="00BA0143" w:rsidRPr="00CC38F9">
              <w:rPr>
                <w:sz w:val="20"/>
              </w:rPr>
              <w:t> </w:t>
            </w:r>
            <w:r w:rsidR="001D0799" w:rsidRPr="00CC38F9">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BD027"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430AFD58"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53A7537C" w14:textId="332DD0AC" w:rsidR="00EC2967" w:rsidRPr="00E950BC" w:rsidRDefault="00EC2967" w:rsidP="0091364B">
            <w:pPr>
              <w:widowControl/>
              <w:spacing w:after="120" w:line="240" w:lineRule="auto"/>
              <w:rPr>
                <w:b/>
                <w:color w:val="FFFFFF"/>
                <w:sz w:val="20"/>
              </w:rPr>
            </w:pPr>
            <w:r>
              <w:rPr>
                <w:b/>
                <w:color w:val="FFFFFF"/>
                <w:sz w:val="20"/>
              </w:rPr>
              <w:t>Ra</w:t>
            </w:r>
            <w:r w:rsidR="00F80FF3">
              <w:rPr>
                <w:b/>
                <w:color w:val="FFFFFF"/>
                <w:sz w:val="20"/>
              </w:rPr>
              <w:t>pport</w:t>
            </w:r>
            <w:r>
              <w:rPr>
                <w:b/>
                <w:color w:val="FFFFFF"/>
                <w:sz w:val="20"/>
              </w:rPr>
              <w:t xml:space="preserve"> coût</w:t>
            </w:r>
            <w:r w:rsidR="00ED229A">
              <w:rPr>
                <w:b/>
                <w:color w:val="FFFFFF"/>
                <w:sz w:val="20"/>
              </w:rPr>
              <w:t>-</w:t>
            </w:r>
            <w:r>
              <w:rPr>
                <w:b/>
                <w:color w:val="FFFFFF"/>
                <w:sz w:val="20"/>
              </w:rPr>
              <w:t>efficacité</w:t>
            </w:r>
          </w:p>
        </w:tc>
        <w:tc>
          <w:tcPr>
            <w:tcW w:w="53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553A924A"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7F2EA04F"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7A5F85B" w14:textId="7A0737B9" w:rsidR="00EC2967" w:rsidRPr="00675063" w:rsidRDefault="00F80FF3" w:rsidP="0091364B">
            <w:pPr>
              <w:widowControl/>
              <w:spacing w:after="120" w:line="240" w:lineRule="auto"/>
              <w:rPr>
                <w:rFonts w:eastAsia="Times New Roman" w:cstheme="minorHAnsi"/>
                <w:sz w:val="20"/>
                <w:szCs w:val="20"/>
              </w:rPr>
            </w:pPr>
            <w:r>
              <w:rPr>
                <w:sz w:val="20"/>
              </w:rPr>
              <w:t>L’</w:t>
            </w:r>
            <w:r w:rsidR="00EC2967">
              <w:rPr>
                <w:sz w:val="20"/>
              </w:rPr>
              <w:t>organisation se préoccupe-t-elle des coûts</w:t>
            </w:r>
            <w:r w:rsidR="00BA0143">
              <w:rPr>
                <w:sz w:val="20"/>
              </w:rPr>
              <w:t> </w:t>
            </w:r>
            <w:r w:rsidR="00EC2967">
              <w:rPr>
                <w:sz w:val="20"/>
              </w:rPr>
              <w:t>? Quels principes applique-t-elle pour les réduire</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5774D" w14:textId="71AE4036"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2594D976"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3AC8E0A6" w14:textId="3055554F" w:rsidR="00EC2967" w:rsidRPr="00675063" w:rsidRDefault="008A4E73" w:rsidP="0091364B">
            <w:pPr>
              <w:widowControl/>
              <w:spacing w:after="120" w:line="240" w:lineRule="auto"/>
              <w:rPr>
                <w:rFonts w:eastAsia="Times New Roman" w:cstheme="minorHAnsi"/>
                <w:sz w:val="20"/>
                <w:szCs w:val="20"/>
              </w:rPr>
            </w:pPr>
            <w:r>
              <w:rPr>
                <w:sz w:val="20"/>
              </w:rPr>
              <w:t>Des</w:t>
            </w:r>
            <w:r w:rsidR="00EC2967">
              <w:rPr>
                <w:sz w:val="20"/>
              </w:rPr>
              <w:t xml:space="preserve"> devis ou des factures </w:t>
            </w:r>
            <w:r>
              <w:rPr>
                <w:sz w:val="20"/>
              </w:rPr>
              <w:t xml:space="preserve">sont-ils obtenus </w:t>
            </w:r>
            <w:r w:rsidR="00EC2967">
              <w:rPr>
                <w:sz w:val="20"/>
              </w:rPr>
              <w:t>avant de procéder aux achats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F1426" w14:textId="76739A20"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21625286"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1F4E78"/>
            <w:vAlign w:val="center"/>
            <w:hideMark/>
          </w:tcPr>
          <w:p w14:paraId="03BE9DDF" w14:textId="1BFED732"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 xml:space="preserve">E. </w:t>
            </w:r>
            <w:r w:rsidR="008A4E73">
              <w:rPr>
                <w:b/>
                <w:color w:val="FFFFFF"/>
                <w:sz w:val="20"/>
              </w:rPr>
              <w:t>CAPACITÉS EN MATIÈRE D’</w:t>
            </w:r>
            <w:r>
              <w:rPr>
                <w:b/>
                <w:color w:val="FFFFFF"/>
                <w:sz w:val="20"/>
              </w:rPr>
              <w:t xml:space="preserve">ACHAT ET </w:t>
            </w:r>
            <w:r w:rsidR="008A4E73">
              <w:rPr>
                <w:b/>
                <w:color w:val="FFFFFF"/>
                <w:sz w:val="20"/>
              </w:rPr>
              <w:t xml:space="preserve">DE GESTION DE LA CHAÎNE </w:t>
            </w:r>
            <w:r>
              <w:rPr>
                <w:b/>
                <w:color w:val="FFFFFF"/>
                <w:sz w:val="20"/>
              </w:rPr>
              <w:t>D’APPROVISIONNEMENT</w:t>
            </w:r>
          </w:p>
        </w:tc>
        <w:tc>
          <w:tcPr>
            <w:tcW w:w="5379" w:type="dxa"/>
            <w:tcBorders>
              <w:top w:val="single" w:sz="4" w:space="0" w:color="auto"/>
              <w:left w:val="single" w:sz="4" w:space="0" w:color="auto"/>
              <w:bottom w:val="single" w:sz="4" w:space="0" w:color="auto"/>
              <w:right w:val="single" w:sz="4" w:space="0" w:color="auto"/>
            </w:tcBorders>
            <w:shd w:val="clear" w:color="auto" w:fill="1F4E78"/>
            <w:noWrap/>
            <w:vAlign w:val="center"/>
            <w:hideMark/>
          </w:tcPr>
          <w:p w14:paraId="42BB2AB6" w14:textId="77777777"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 </w:t>
            </w:r>
          </w:p>
        </w:tc>
      </w:tr>
      <w:tr w:rsidR="00EA457F" w:rsidRPr="00675063" w14:paraId="739EE939"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52C28CB4" w14:textId="7AD4F2C3" w:rsidR="00EC2967" w:rsidRPr="00675063" w:rsidRDefault="00EC2967" w:rsidP="0091364B">
            <w:pPr>
              <w:widowControl/>
              <w:spacing w:after="120" w:line="240" w:lineRule="auto"/>
              <w:rPr>
                <w:rFonts w:eastAsia="Times New Roman" w:cstheme="minorHAnsi"/>
                <w:sz w:val="20"/>
                <w:szCs w:val="20"/>
              </w:rPr>
            </w:pPr>
            <w:r>
              <w:rPr>
                <w:sz w:val="20"/>
              </w:rPr>
              <w:t>Veuillez décrire l</w:t>
            </w:r>
            <w:r w:rsidR="00354633">
              <w:rPr>
                <w:sz w:val="20"/>
              </w:rPr>
              <w:t>a structure</w:t>
            </w:r>
            <w:r>
              <w:rPr>
                <w:sz w:val="20"/>
              </w:rPr>
              <w:t xml:space="preserve"> logistique de </w:t>
            </w:r>
            <w:r w:rsidR="00354633">
              <w:rPr>
                <w:sz w:val="20"/>
              </w:rPr>
              <w:t>l’</w:t>
            </w:r>
            <w:r>
              <w:rPr>
                <w:sz w:val="20"/>
              </w:rPr>
              <w:t>organisation.</w:t>
            </w:r>
          </w:p>
        </w:tc>
        <w:tc>
          <w:tcPr>
            <w:tcW w:w="5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C9CBA2C"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563AD6" w:rsidRPr="00675063" w14:paraId="20A28054" w14:textId="77777777" w:rsidTr="00966A6E">
        <w:trPr>
          <w:trHeight w:val="356"/>
        </w:trPr>
        <w:tc>
          <w:tcPr>
            <w:tcW w:w="4611" w:type="dxa"/>
            <w:tcBorders>
              <w:top w:val="single" w:sz="4" w:space="0" w:color="auto"/>
              <w:left w:val="single" w:sz="4" w:space="0" w:color="auto"/>
              <w:bottom w:val="single" w:sz="4" w:space="0" w:color="auto"/>
              <w:right w:val="single" w:sz="4" w:space="0" w:color="auto"/>
            </w:tcBorders>
            <w:vAlign w:val="center"/>
            <w:hideMark/>
          </w:tcPr>
          <w:p w14:paraId="6056381F" w14:textId="7A566B2D" w:rsidR="00563AD6" w:rsidRPr="00675063" w:rsidRDefault="00354633" w:rsidP="0091364B">
            <w:pPr>
              <w:widowControl/>
              <w:spacing w:after="120" w:line="240" w:lineRule="auto"/>
              <w:rPr>
                <w:rFonts w:eastAsia="Times New Roman" w:cstheme="minorHAnsi"/>
                <w:sz w:val="20"/>
                <w:szCs w:val="20"/>
              </w:rPr>
            </w:pPr>
            <w:r>
              <w:rPr>
                <w:sz w:val="20"/>
              </w:rPr>
              <w:t>L’organisation e</w:t>
            </w:r>
            <w:r w:rsidR="00563AD6">
              <w:rPr>
                <w:sz w:val="20"/>
              </w:rPr>
              <w:t xml:space="preserve">st-elle dotée de </w:t>
            </w:r>
            <w:r w:rsidR="00E567F4">
              <w:rPr>
                <w:sz w:val="20"/>
              </w:rPr>
              <w:t xml:space="preserve">politiques </w:t>
            </w:r>
            <w:r w:rsidR="00563AD6">
              <w:rPr>
                <w:sz w:val="20"/>
              </w:rPr>
              <w:t xml:space="preserve">de lutte contre le terrorisme </w:t>
            </w:r>
            <w:r w:rsidR="00E567F4">
              <w:rPr>
                <w:sz w:val="20"/>
              </w:rPr>
              <w:t xml:space="preserve">nécessitant </w:t>
            </w:r>
            <w:r w:rsidR="00563AD6">
              <w:rPr>
                <w:sz w:val="20"/>
              </w:rPr>
              <w:t xml:space="preserve">de </w:t>
            </w:r>
            <w:r w:rsidR="005A73C1">
              <w:rPr>
                <w:sz w:val="20"/>
              </w:rPr>
              <w:t xml:space="preserve">vérifier </w:t>
            </w:r>
            <w:r w:rsidR="00563AD6">
              <w:rPr>
                <w:sz w:val="20"/>
              </w:rPr>
              <w:t xml:space="preserve">systématiquement que </w:t>
            </w:r>
            <w:r w:rsidR="005A73C1">
              <w:rPr>
                <w:sz w:val="20"/>
              </w:rPr>
              <w:t>l</w:t>
            </w:r>
            <w:r w:rsidR="00563AD6">
              <w:rPr>
                <w:sz w:val="20"/>
              </w:rPr>
              <w:t xml:space="preserve">es partenaires et </w:t>
            </w:r>
            <w:r w:rsidR="005A73C1">
              <w:rPr>
                <w:sz w:val="20"/>
              </w:rPr>
              <w:t>l</w:t>
            </w:r>
            <w:r w:rsidR="00563AD6">
              <w:rPr>
                <w:sz w:val="20"/>
              </w:rPr>
              <w:t>es fournisseurs ne figure</w:t>
            </w:r>
            <w:r w:rsidR="005A73C1">
              <w:rPr>
                <w:sz w:val="20"/>
              </w:rPr>
              <w:t>nt</w:t>
            </w:r>
            <w:r w:rsidR="00563AD6">
              <w:rPr>
                <w:sz w:val="20"/>
              </w:rPr>
              <w:t xml:space="preserve"> pas sur la liste des organisations terroristes, et les applique-t-elle</w:t>
            </w:r>
            <w:r w:rsidR="00BA0143">
              <w:rPr>
                <w:sz w:val="20"/>
              </w:rPr>
              <w:t> </w:t>
            </w:r>
            <w:r w:rsidR="00563AD6">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B3F3F2" w14:textId="77777777" w:rsidR="00563AD6" w:rsidRPr="00023A28" w:rsidRDefault="00563AD6" w:rsidP="0091364B">
            <w:pPr>
              <w:widowControl/>
              <w:spacing w:after="120" w:line="240" w:lineRule="auto"/>
              <w:rPr>
                <w:rFonts w:eastAsia="Times New Roman" w:cstheme="minorHAnsi"/>
                <w:color w:val="000000"/>
                <w:sz w:val="20"/>
                <w:szCs w:val="20"/>
                <w:lang w:eastAsia="en-GB"/>
              </w:rPr>
            </w:pPr>
          </w:p>
        </w:tc>
      </w:tr>
      <w:tr w:rsidR="00EA457F" w:rsidRPr="00675063" w14:paraId="4B5DCE9C"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3266153C"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Achats</w:t>
            </w:r>
          </w:p>
        </w:tc>
        <w:tc>
          <w:tcPr>
            <w:tcW w:w="53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11497D6F"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22EF3864"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8CC14DB" w14:textId="0EA30440" w:rsidR="00EC2967" w:rsidRPr="00675063" w:rsidRDefault="000D256A" w:rsidP="0091364B">
            <w:pPr>
              <w:widowControl/>
              <w:spacing w:after="120" w:line="240" w:lineRule="auto"/>
              <w:rPr>
                <w:rFonts w:eastAsia="Times New Roman" w:cstheme="minorHAnsi"/>
                <w:sz w:val="20"/>
                <w:szCs w:val="20"/>
              </w:rPr>
            </w:pPr>
            <w:r>
              <w:rPr>
                <w:sz w:val="20"/>
              </w:rPr>
              <w:t>L’</w:t>
            </w:r>
            <w:r w:rsidR="00EC2967">
              <w:rPr>
                <w:sz w:val="20"/>
              </w:rPr>
              <w:t xml:space="preserve">organisation est-elle dotée </w:t>
            </w:r>
            <w:r w:rsidR="00FD04AB">
              <w:rPr>
                <w:sz w:val="20"/>
              </w:rPr>
              <w:t>de règles</w:t>
            </w:r>
            <w:r w:rsidR="00EC2967">
              <w:rPr>
                <w:sz w:val="20"/>
              </w:rPr>
              <w:t xml:space="preserve"> claire</w:t>
            </w:r>
            <w:r w:rsidR="00FD04AB">
              <w:rPr>
                <w:sz w:val="20"/>
              </w:rPr>
              <w:t>s</w:t>
            </w:r>
            <w:r w:rsidR="00EC2967">
              <w:rPr>
                <w:sz w:val="20"/>
              </w:rPr>
              <w:t xml:space="preserve"> en matière d’achat</w:t>
            </w:r>
            <w:r w:rsidR="00BA0143">
              <w:rPr>
                <w:sz w:val="20"/>
              </w:rPr>
              <w:t> </w:t>
            </w:r>
            <w:r w:rsidR="00EC2967">
              <w:rPr>
                <w:sz w:val="20"/>
              </w:rPr>
              <w:t xml:space="preserve">? Si oui, veuillez en fournir un exemplaire.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8FBC2" w14:textId="2CD645FD" w:rsidR="00EC2967" w:rsidRPr="00E950BC" w:rsidRDefault="00EC2967" w:rsidP="0091364B">
            <w:pPr>
              <w:widowControl/>
              <w:spacing w:after="120" w:line="240" w:lineRule="auto"/>
              <w:rPr>
                <w:rFonts w:eastAsia="Times New Roman" w:cstheme="minorHAnsi"/>
                <w:sz w:val="20"/>
                <w:szCs w:val="20"/>
                <w:lang w:val="fr-CH" w:eastAsia="en-GB"/>
              </w:rPr>
            </w:pPr>
          </w:p>
        </w:tc>
      </w:tr>
      <w:tr w:rsidR="00EA457F" w:rsidRPr="00675063" w14:paraId="0FE304C0" w14:textId="77777777" w:rsidTr="00966A6E">
        <w:trPr>
          <w:trHeight w:val="432"/>
        </w:trPr>
        <w:tc>
          <w:tcPr>
            <w:tcW w:w="4611" w:type="dxa"/>
            <w:tcBorders>
              <w:top w:val="single" w:sz="4" w:space="0" w:color="auto"/>
              <w:left w:val="single" w:sz="4" w:space="0" w:color="auto"/>
              <w:bottom w:val="single" w:sz="4" w:space="0" w:color="auto"/>
              <w:right w:val="single" w:sz="4" w:space="0" w:color="auto"/>
            </w:tcBorders>
            <w:vAlign w:val="center"/>
            <w:hideMark/>
          </w:tcPr>
          <w:p w14:paraId="4E5311FE" w14:textId="1571D445" w:rsidR="00EC2967" w:rsidRPr="00675063" w:rsidRDefault="00FD04AB" w:rsidP="0091364B">
            <w:pPr>
              <w:widowControl/>
              <w:spacing w:after="120" w:line="240" w:lineRule="auto"/>
              <w:rPr>
                <w:rFonts w:eastAsia="Times New Roman" w:cstheme="minorHAnsi"/>
                <w:sz w:val="20"/>
                <w:szCs w:val="20"/>
              </w:rPr>
            </w:pPr>
            <w:r>
              <w:rPr>
                <w:sz w:val="20"/>
              </w:rPr>
              <w:lastRenderedPageBreak/>
              <w:t>L</w:t>
            </w:r>
            <w:r w:rsidR="00EC2967">
              <w:rPr>
                <w:sz w:val="20"/>
              </w:rPr>
              <w:t xml:space="preserve">a politique d’achat </w:t>
            </w:r>
            <w:r>
              <w:rPr>
                <w:sz w:val="20"/>
              </w:rPr>
              <w:t xml:space="preserve">de l’organisation </w:t>
            </w:r>
            <w:r w:rsidR="00EC2967">
              <w:rPr>
                <w:sz w:val="20"/>
              </w:rPr>
              <w:t>a-t-elle été examinée et acceptée par d’autres organisations et/ou donateurs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29EB" w14:textId="3347CF0E"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6C4D01FD"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1339EE34" w14:textId="6CD979E5" w:rsidR="00EC2967" w:rsidRPr="00675063" w:rsidRDefault="00FD04AB" w:rsidP="0091364B">
            <w:pPr>
              <w:widowControl/>
              <w:spacing w:after="120" w:line="240" w:lineRule="auto"/>
              <w:rPr>
                <w:rFonts w:eastAsia="Times New Roman" w:cstheme="minorHAnsi"/>
                <w:sz w:val="20"/>
                <w:szCs w:val="20"/>
              </w:rPr>
            </w:pPr>
            <w:r>
              <w:rPr>
                <w:sz w:val="20"/>
              </w:rPr>
              <w:t>L’organisation dispose</w:t>
            </w:r>
            <w:r w:rsidR="00EC2967">
              <w:rPr>
                <w:sz w:val="20"/>
              </w:rPr>
              <w:t xml:space="preserve">-t-elle </w:t>
            </w:r>
            <w:r>
              <w:rPr>
                <w:sz w:val="20"/>
              </w:rPr>
              <w:t>d’</w:t>
            </w:r>
            <w:r w:rsidR="00EC2967">
              <w:rPr>
                <w:sz w:val="20"/>
              </w:rPr>
              <w:t xml:space="preserve">une politique claire en matière de séparation des </w:t>
            </w:r>
            <w:r w:rsidR="00CF2CEC">
              <w:rPr>
                <w:sz w:val="20"/>
              </w:rPr>
              <w:t xml:space="preserve">tâches </w:t>
            </w:r>
            <w:r w:rsidR="00EC2967">
              <w:rPr>
                <w:sz w:val="20"/>
              </w:rPr>
              <w:t xml:space="preserve">et de délégation de </w:t>
            </w:r>
            <w:r w:rsidR="00704D6A">
              <w:rPr>
                <w:sz w:val="20"/>
              </w:rPr>
              <w:t xml:space="preserve">pouvoir </w:t>
            </w:r>
            <w:r w:rsidR="00EC2967">
              <w:rPr>
                <w:sz w:val="20"/>
              </w:rPr>
              <w:t>dans le cadre des processus d’achat</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3FA10" w14:textId="64D24F67"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58D3715A"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152405E" w14:textId="4AA72233" w:rsidR="00EC2967" w:rsidRPr="00675063" w:rsidRDefault="001D1EA0" w:rsidP="0091364B">
            <w:pPr>
              <w:widowControl/>
              <w:spacing w:after="120" w:line="240" w:lineRule="auto"/>
              <w:rPr>
                <w:rFonts w:eastAsia="Times New Roman" w:cstheme="minorHAnsi"/>
                <w:sz w:val="20"/>
                <w:szCs w:val="20"/>
              </w:rPr>
            </w:pPr>
            <w:r>
              <w:rPr>
                <w:sz w:val="20"/>
              </w:rPr>
              <w:t>L’organisation a</w:t>
            </w:r>
            <w:r w:rsidR="00EC2967">
              <w:rPr>
                <w:sz w:val="20"/>
              </w:rPr>
              <w:t>-t-elle (et utilise-t-elle) un plan en matière d’achat</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C40EC" w14:textId="733D0DDD"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0545D8C9" w14:textId="77777777" w:rsidTr="00966A6E">
        <w:trPr>
          <w:trHeight w:val="590"/>
        </w:trPr>
        <w:tc>
          <w:tcPr>
            <w:tcW w:w="4611" w:type="dxa"/>
            <w:tcBorders>
              <w:top w:val="single" w:sz="4" w:space="0" w:color="auto"/>
              <w:left w:val="single" w:sz="4" w:space="0" w:color="auto"/>
              <w:bottom w:val="single" w:sz="4" w:space="0" w:color="auto"/>
              <w:right w:val="single" w:sz="4" w:space="0" w:color="auto"/>
            </w:tcBorders>
            <w:vAlign w:val="center"/>
            <w:hideMark/>
          </w:tcPr>
          <w:p w14:paraId="17CF3F16" w14:textId="59B1758C" w:rsidR="00EC2967" w:rsidRPr="00675063" w:rsidRDefault="001D1EA0" w:rsidP="0091364B">
            <w:pPr>
              <w:widowControl/>
              <w:spacing w:after="120" w:line="240" w:lineRule="auto"/>
              <w:rPr>
                <w:rFonts w:eastAsia="Times New Roman" w:cstheme="minorHAnsi"/>
                <w:sz w:val="20"/>
                <w:szCs w:val="20"/>
              </w:rPr>
            </w:pPr>
            <w:r>
              <w:rPr>
                <w:sz w:val="20"/>
              </w:rPr>
              <w:t>L’organisation u</w:t>
            </w:r>
            <w:r w:rsidR="00EC2967">
              <w:rPr>
                <w:sz w:val="20"/>
              </w:rPr>
              <w:t>tilise-t-elle le système ERP pour publier les transactions d’achat</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3EADD" w14:textId="1BC8EC30"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0A7070A4"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6482039E" w14:textId="77777777"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Gestion des actifs et des entrepôts</w:t>
            </w:r>
          </w:p>
        </w:tc>
        <w:tc>
          <w:tcPr>
            <w:tcW w:w="53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6AD1B743"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701A06BE"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69DFB41" w14:textId="36D3435F" w:rsidR="00EC2967" w:rsidRPr="00675063" w:rsidRDefault="001D1EA0" w:rsidP="0091364B">
            <w:pPr>
              <w:widowControl/>
              <w:spacing w:after="120" w:line="240" w:lineRule="auto"/>
              <w:rPr>
                <w:rFonts w:eastAsia="Times New Roman" w:cstheme="minorHAnsi"/>
                <w:sz w:val="20"/>
                <w:szCs w:val="20"/>
              </w:rPr>
            </w:pPr>
            <w:r>
              <w:rPr>
                <w:sz w:val="20"/>
              </w:rPr>
              <w:t>L’</w:t>
            </w:r>
            <w:r w:rsidR="00EC2967">
              <w:rPr>
                <w:sz w:val="20"/>
              </w:rPr>
              <w:t>organisation dispose-t-elle d’une base de données recensant ses actifs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C9E84" w14:textId="32064FC2"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1EEA97BB"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1818A3B" w14:textId="7ADC63BE" w:rsidR="00EC2967" w:rsidRPr="00675063" w:rsidRDefault="001D1EA0" w:rsidP="0091364B">
            <w:pPr>
              <w:widowControl/>
              <w:spacing w:after="120" w:line="240" w:lineRule="auto"/>
              <w:rPr>
                <w:rFonts w:eastAsia="Times New Roman" w:cstheme="minorHAnsi"/>
                <w:sz w:val="20"/>
                <w:szCs w:val="20"/>
              </w:rPr>
            </w:pPr>
            <w:r>
              <w:rPr>
                <w:sz w:val="20"/>
              </w:rPr>
              <w:t xml:space="preserve">L’organisation </w:t>
            </w:r>
            <w:r w:rsidR="003B2C93">
              <w:rPr>
                <w:sz w:val="20"/>
              </w:rPr>
              <w:t xml:space="preserve">a-t-elle établi des </w:t>
            </w:r>
            <w:r w:rsidR="00EC2967">
              <w:rPr>
                <w:sz w:val="20"/>
              </w:rPr>
              <w:t>protocoles régissant le transfert, la comptabilisation en pertes, la vente et la cession des actifs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0BFCA" w14:textId="2A3B02E6"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5A0738E8"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28CB9144" w14:textId="2A20741D" w:rsidR="00EC2967" w:rsidRPr="00675063" w:rsidRDefault="00F1371D" w:rsidP="0091364B">
            <w:pPr>
              <w:widowControl/>
              <w:spacing w:after="120" w:line="240" w:lineRule="auto"/>
              <w:rPr>
                <w:rFonts w:eastAsia="Times New Roman" w:cstheme="minorHAnsi"/>
                <w:sz w:val="20"/>
                <w:szCs w:val="20"/>
              </w:rPr>
            </w:pPr>
            <w:r>
              <w:rPr>
                <w:sz w:val="20"/>
              </w:rPr>
              <w:t>L’organisation dispose</w:t>
            </w:r>
            <w:r w:rsidR="00EC2967">
              <w:rPr>
                <w:sz w:val="20"/>
              </w:rPr>
              <w:t>-t-elle de procédures de gestion des stocks et des entrepôts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09740" w14:textId="34EAF883" w:rsidR="00EC2967" w:rsidRPr="00023A28" w:rsidRDefault="00EC2967" w:rsidP="0091364B">
            <w:pPr>
              <w:widowControl/>
              <w:spacing w:after="120" w:line="240" w:lineRule="auto"/>
              <w:rPr>
                <w:rFonts w:eastAsia="Times New Roman" w:cstheme="minorHAnsi"/>
                <w:sz w:val="20"/>
                <w:szCs w:val="20"/>
                <w:lang w:eastAsia="en-GB"/>
              </w:rPr>
            </w:pPr>
          </w:p>
        </w:tc>
      </w:tr>
    </w:tbl>
    <w:p w14:paraId="510E61AE" w14:textId="2FC62F39" w:rsidR="00EC2967" w:rsidRPr="00675063" w:rsidRDefault="00EC2967" w:rsidP="0091364B">
      <w:pPr>
        <w:spacing w:after="120" w:line="240" w:lineRule="auto"/>
        <w:rPr>
          <w:sz w:val="20"/>
          <w:szCs w:val="20"/>
        </w:rPr>
      </w:pPr>
    </w:p>
    <w:p w14:paraId="119CC749" w14:textId="5024860A" w:rsidR="0010606D" w:rsidRPr="00675063" w:rsidRDefault="0010606D" w:rsidP="0091364B">
      <w:pPr>
        <w:spacing w:after="120" w:line="240" w:lineRule="auto"/>
        <w:rPr>
          <w:rFonts w:cstheme="minorHAnsi"/>
          <w:sz w:val="20"/>
          <w:szCs w:val="20"/>
        </w:rPr>
      </w:pPr>
      <w:r>
        <w:rPr>
          <w:sz w:val="20"/>
        </w:rPr>
        <w:t xml:space="preserve">Je soussigné(e) déclare que les informations renseignées dans </w:t>
      </w:r>
      <w:r w:rsidR="00FE4789">
        <w:rPr>
          <w:sz w:val="20"/>
        </w:rPr>
        <w:t xml:space="preserve">le présent </w:t>
      </w:r>
      <w:r>
        <w:rPr>
          <w:sz w:val="20"/>
        </w:rPr>
        <w:t>formulaire sont exactes et que tout</w:t>
      </w:r>
      <w:r w:rsidR="00FE4789">
        <w:rPr>
          <w:sz w:val="20"/>
        </w:rPr>
        <w:t xml:space="preserve"> changement</w:t>
      </w:r>
      <w:r w:rsidR="003E58EE">
        <w:rPr>
          <w:sz w:val="20"/>
        </w:rPr>
        <w:t xml:space="preserve"> éventuel</w:t>
      </w:r>
      <w:r>
        <w:rPr>
          <w:sz w:val="20"/>
        </w:rPr>
        <w:t xml:space="preserve"> sera notifié dans les meilleurs délais</w:t>
      </w:r>
      <w:r w:rsidR="00BA0143">
        <w:rPr>
          <w:sz w:val="20"/>
        </w:rPr>
        <w:t> </w:t>
      </w:r>
      <w:r>
        <w:rPr>
          <w:sz w:val="20"/>
        </w:rPr>
        <w:t>:</w:t>
      </w:r>
    </w:p>
    <w:p w14:paraId="4695F451" w14:textId="77777777" w:rsidR="0010606D" w:rsidRPr="00675063" w:rsidRDefault="0010606D" w:rsidP="0091364B">
      <w:pPr>
        <w:spacing w:after="120" w:line="240" w:lineRule="auto"/>
        <w:rPr>
          <w:rFonts w:cstheme="minorHAnsi"/>
          <w:sz w:val="20"/>
          <w:szCs w:val="20"/>
        </w:rPr>
      </w:pPr>
    </w:p>
    <w:p w14:paraId="53C7D453" w14:textId="77777777" w:rsidR="0010606D" w:rsidRPr="00675063" w:rsidRDefault="0010606D" w:rsidP="0091364B">
      <w:pPr>
        <w:spacing w:after="120" w:line="240" w:lineRule="auto"/>
        <w:rPr>
          <w:rFonts w:cstheme="minorHAnsi"/>
          <w:sz w:val="20"/>
          <w:szCs w:val="20"/>
        </w:rPr>
      </w:pPr>
    </w:p>
    <w:p w14:paraId="34295CFB" w14:textId="3477946B" w:rsidR="0010606D" w:rsidRPr="00675063" w:rsidRDefault="0010606D" w:rsidP="0091364B">
      <w:pPr>
        <w:spacing w:after="120" w:line="240" w:lineRule="auto"/>
        <w:rPr>
          <w:rFonts w:cstheme="minorHAnsi"/>
          <w:sz w:val="20"/>
          <w:szCs w:val="20"/>
        </w:rPr>
      </w:pPr>
      <w:r>
        <w:rPr>
          <w:sz w:val="20"/>
        </w:rPr>
        <w:t>___________________________________________________</w:t>
      </w:r>
    </w:p>
    <w:p w14:paraId="716030B2" w14:textId="113FFCB9" w:rsidR="00306AEE" w:rsidRDefault="009A163E" w:rsidP="2E90A0BC">
      <w:pPr>
        <w:spacing w:after="120" w:line="240" w:lineRule="auto"/>
        <w:rPr>
          <w:sz w:val="20"/>
          <w:szCs w:val="20"/>
        </w:rPr>
      </w:pPr>
      <w:r>
        <w:rPr>
          <w:sz w:val="20"/>
        </w:rPr>
        <w:t>(Signature)</w:t>
      </w:r>
    </w:p>
    <w:p w14:paraId="09CA35FB" w14:textId="77777777" w:rsidR="009A163E" w:rsidRDefault="009A163E" w:rsidP="2E90A0BC">
      <w:pPr>
        <w:spacing w:after="120" w:line="240" w:lineRule="auto"/>
        <w:rPr>
          <w:sz w:val="20"/>
          <w:szCs w:val="20"/>
        </w:rPr>
      </w:pPr>
    </w:p>
    <w:p w14:paraId="55F167D1" w14:textId="6C7A31E5" w:rsidR="00306AEE" w:rsidRDefault="0010606D" w:rsidP="2E90A0BC">
      <w:pPr>
        <w:spacing w:after="120" w:line="240" w:lineRule="auto"/>
        <w:rPr>
          <w:sz w:val="20"/>
          <w:szCs w:val="20"/>
        </w:rPr>
      </w:pPr>
      <w:r>
        <w:rPr>
          <w:sz w:val="20"/>
        </w:rPr>
        <w:t>Nom</w:t>
      </w:r>
      <w:r w:rsidR="00BA0143">
        <w:rPr>
          <w:sz w:val="20"/>
        </w:rPr>
        <w:t> </w:t>
      </w:r>
      <w:r>
        <w:rPr>
          <w:sz w:val="20"/>
        </w:rPr>
        <w:t>:</w:t>
      </w:r>
    </w:p>
    <w:p w14:paraId="08ECD746" w14:textId="72673AC0" w:rsidR="00306AEE" w:rsidRDefault="000C55FC" w:rsidP="2E90A0BC">
      <w:pPr>
        <w:spacing w:after="120" w:line="240" w:lineRule="auto"/>
        <w:rPr>
          <w:sz w:val="20"/>
          <w:szCs w:val="20"/>
        </w:rPr>
      </w:pPr>
      <w:r>
        <w:rPr>
          <w:sz w:val="20"/>
        </w:rPr>
        <w:t>Titre</w:t>
      </w:r>
      <w:r w:rsidR="00BA0143">
        <w:rPr>
          <w:sz w:val="20"/>
        </w:rPr>
        <w:t> </w:t>
      </w:r>
      <w:r w:rsidR="00306AEE">
        <w:rPr>
          <w:sz w:val="20"/>
        </w:rPr>
        <w:t>:</w:t>
      </w:r>
    </w:p>
    <w:p w14:paraId="3922E9C6" w14:textId="7783CB1C" w:rsidR="00DB05B6" w:rsidRDefault="0010606D" w:rsidP="2E90A0BC">
      <w:pPr>
        <w:spacing w:after="120" w:line="240" w:lineRule="auto"/>
        <w:rPr>
          <w:noProof/>
          <w:sz w:val="20"/>
          <w:szCs w:val="20"/>
        </w:rPr>
      </w:pPr>
      <w:r>
        <w:rPr>
          <w:sz w:val="20"/>
        </w:rPr>
        <w:t>Date</w:t>
      </w:r>
      <w:r w:rsidR="00BA0143">
        <w:rPr>
          <w:sz w:val="20"/>
        </w:rPr>
        <w:t> </w:t>
      </w:r>
      <w:r>
        <w:rPr>
          <w:sz w:val="20"/>
        </w:rPr>
        <w:t>:</w:t>
      </w:r>
    </w:p>
    <w:sectPr w:rsidR="00DB05B6" w:rsidSect="00F33DEE">
      <w:headerReference w:type="default" r:id="rId14"/>
      <w:footerReference w:type="default" r:id="rId15"/>
      <w:headerReference w:type="first" r:id="rId16"/>
      <w:pgSz w:w="11920" w:h="16840"/>
      <w:pgMar w:top="720" w:right="720" w:bottom="720" w:left="720" w:header="432"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E9D27" w14:textId="77777777" w:rsidR="002064E1" w:rsidRDefault="002064E1">
      <w:pPr>
        <w:spacing w:after="0" w:line="240" w:lineRule="auto"/>
      </w:pPr>
      <w:r>
        <w:separator/>
      </w:r>
    </w:p>
  </w:endnote>
  <w:endnote w:type="continuationSeparator" w:id="0">
    <w:p w14:paraId="2DE1D980" w14:textId="77777777" w:rsidR="002064E1" w:rsidRDefault="002064E1">
      <w:pPr>
        <w:spacing w:after="0" w:line="240" w:lineRule="auto"/>
      </w:pPr>
      <w:r>
        <w:continuationSeparator/>
      </w:r>
    </w:p>
  </w:endnote>
  <w:endnote w:type="continuationNotice" w:id="1">
    <w:p w14:paraId="5F449D7F" w14:textId="77777777" w:rsidR="002064E1" w:rsidRDefault="00206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27AD" w14:textId="27638E6A" w:rsidR="00EA457F" w:rsidRDefault="00EA457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B33E" w14:textId="77777777" w:rsidR="002064E1" w:rsidRDefault="002064E1">
      <w:pPr>
        <w:spacing w:after="0" w:line="240" w:lineRule="auto"/>
      </w:pPr>
      <w:r>
        <w:separator/>
      </w:r>
    </w:p>
  </w:footnote>
  <w:footnote w:type="continuationSeparator" w:id="0">
    <w:p w14:paraId="1B18B578" w14:textId="77777777" w:rsidR="002064E1" w:rsidRDefault="002064E1">
      <w:pPr>
        <w:spacing w:after="0" w:line="240" w:lineRule="auto"/>
      </w:pPr>
      <w:r>
        <w:continuationSeparator/>
      </w:r>
    </w:p>
  </w:footnote>
  <w:footnote w:type="continuationNotice" w:id="1">
    <w:p w14:paraId="11645DA8" w14:textId="77777777" w:rsidR="002064E1" w:rsidRDefault="00206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6473" w14:textId="008A05DC" w:rsidR="00146B6E" w:rsidRPr="00675063" w:rsidRDefault="00146B6E" w:rsidP="00ED24B6">
    <w:pPr>
      <w:pStyle w:val="Paragraphedeliste"/>
      <w:numPr>
        <w:ilvl w:val="0"/>
        <w:numId w:val="1"/>
      </w:numPr>
      <w:spacing w:after="0" w:line="200" w:lineRule="exact"/>
      <w:jc w:val="center"/>
      <w:rPr>
        <w:color w:val="FF0000"/>
        <w:sz w:val="20"/>
        <w:szCs w:val="20"/>
      </w:rPr>
    </w:pPr>
    <w:r>
      <w:rPr>
        <w:color w:val="FF0000"/>
        <w:sz w:val="20"/>
      </w:rPr>
      <w:t>MOD</w:t>
    </w:r>
    <w:r w:rsidR="00023A28">
      <w:rPr>
        <w:color w:val="FF0000"/>
        <w:sz w:val="20"/>
      </w:rPr>
      <w:t>È</w:t>
    </w:r>
    <w:r>
      <w:rPr>
        <w:color w:val="FF0000"/>
        <w:sz w:val="20"/>
      </w:rPr>
      <w:t xml:space="preserve">LE </w:t>
    </w:r>
    <w:r w:rsidR="007D6B5E">
      <w:rPr>
        <w:color w:val="FF0000"/>
        <w:sz w:val="20"/>
      </w:rPr>
      <w:t>–</w:t>
    </w:r>
    <w:r>
      <w:rPr>
        <w:color w:val="FF0000"/>
        <w:sz w:val="20"/>
      </w:rPr>
      <w:t xml:space="preserve"> </w:t>
    </w:r>
    <w:r w:rsidR="00187EF9">
      <w:rPr>
        <w:color w:val="FF0000"/>
        <w:sz w:val="20"/>
      </w:rPr>
      <w:t>À</w:t>
    </w:r>
    <w:r>
      <w:rPr>
        <w:color w:val="FF0000"/>
        <w:sz w:val="20"/>
      </w:rPr>
      <w:t xml:space="preserve"> REVOIR ET ADAPTER </w:t>
    </w:r>
    <w:r w:rsidR="007D6B5E">
      <w:rPr>
        <w:color w:val="FF0000"/>
        <w:sz w:val="20"/>
      </w:rPr>
      <w:t>–</w:t>
    </w:r>
    <w:r>
      <w:rPr>
        <w:color w:val="FF0000"/>
        <w:sz w:val="20"/>
      </w:rPr>
      <w:t xml:space="preserve">  </w:t>
    </w:r>
  </w:p>
  <w:p w14:paraId="263ED7AB" w14:textId="4A6CBEB9" w:rsidR="00F33DEE" w:rsidRDefault="00F33DEE" w:rsidP="00F33DEE">
    <w:pPr>
      <w:spacing w:after="0" w:line="200" w:lineRule="exact"/>
      <w:rPr>
        <w:color w:val="FF0000"/>
        <w:sz w:val="20"/>
        <w:szCs w:val="20"/>
      </w:rPr>
    </w:pPr>
  </w:p>
  <w:p w14:paraId="4B76699E" w14:textId="7B0650F9" w:rsidR="00B50929" w:rsidRDefault="00F33DEE" w:rsidP="00675063">
    <w:pPr>
      <w:spacing w:after="0" w:line="200" w:lineRule="exact"/>
      <w:jc w:val="center"/>
      <w:rPr>
        <w:color w:val="FF0000"/>
        <w:sz w:val="20"/>
        <w:szCs w:val="20"/>
      </w:rPr>
    </w:pPr>
    <w:r>
      <w:rPr>
        <w:noProof/>
        <w:color w:val="FF0000"/>
        <w:sz w:val="20"/>
      </w:rPr>
      <w:drawing>
        <wp:inline distT="0" distB="0" distL="0" distR="0" wp14:anchorId="4672E7E0" wp14:editId="593C57EF">
          <wp:extent cx="18351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3DF0D93D" w:rsidR="00F33DEE" w:rsidRDefault="00DF5EAB" w:rsidP="00F33DEE">
    <w:pPr>
      <w:pStyle w:val="En-tte"/>
      <w:jc w:val="center"/>
    </w:pPr>
    <w:r>
      <w:rPr>
        <w:noProof/>
      </w:rPr>
      <w:drawing>
        <wp:inline distT="0" distB="0" distL="0" distR="0" wp14:anchorId="5BCAD3E6" wp14:editId="0F2FF720">
          <wp:extent cx="1461600" cy="555746"/>
          <wp:effectExtent l="0" t="0" r="5715" b="0"/>
          <wp:docPr id="363798251"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3B6"/>
    <w:multiLevelType w:val="multilevel"/>
    <w:tmpl w:val="30A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A63"/>
    <w:multiLevelType w:val="multilevel"/>
    <w:tmpl w:val="B31A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61908"/>
    <w:multiLevelType w:val="multilevel"/>
    <w:tmpl w:val="E450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55DBD"/>
    <w:multiLevelType w:val="multilevel"/>
    <w:tmpl w:val="DD92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4047F"/>
    <w:multiLevelType w:val="multilevel"/>
    <w:tmpl w:val="725C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528B5"/>
    <w:multiLevelType w:val="multilevel"/>
    <w:tmpl w:val="DF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4233F"/>
    <w:multiLevelType w:val="multilevel"/>
    <w:tmpl w:val="A674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897802"/>
    <w:multiLevelType w:val="multilevel"/>
    <w:tmpl w:val="7000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8538C"/>
    <w:multiLevelType w:val="multilevel"/>
    <w:tmpl w:val="EF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A63FC2"/>
    <w:multiLevelType w:val="multilevel"/>
    <w:tmpl w:val="8DA6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E6AC8"/>
    <w:multiLevelType w:val="multilevel"/>
    <w:tmpl w:val="A03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30F7F"/>
    <w:multiLevelType w:val="multilevel"/>
    <w:tmpl w:val="3E4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55F14"/>
    <w:multiLevelType w:val="multilevel"/>
    <w:tmpl w:val="7C78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0C354C"/>
    <w:multiLevelType w:val="multilevel"/>
    <w:tmpl w:val="E4CC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C738B"/>
    <w:multiLevelType w:val="hybridMultilevel"/>
    <w:tmpl w:val="E92CEB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E36962"/>
    <w:multiLevelType w:val="multilevel"/>
    <w:tmpl w:val="372A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778C4"/>
    <w:multiLevelType w:val="multilevel"/>
    <w:tmpl w:val="9F36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1775C1"/>
    <w:multiLevelType w:val="hybridMultilevel"/>
    <w:tmpl w:val="710AF1E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FF36E5"/>
    <w:multiLevelType w:val="multilevel"/>
    <w:tmpl w:val="6416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F3564"/>
    <w:multiLevelType w:val="multilevel"/>
    <w:tmpl w:val="FA68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A486A"/>
    <w:multiLevelType w:val="multilevel"/>
    <w:tmpl w:val="829E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D4BE9"/>
    <w:multiLevelType w:val="multilevel"/>
    <w:tmpl w:val="FCF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9534B5"/>
    <w:multiLevelType w:val="multilevel"/>
    <w:tmpl w:val="6E6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9169D5"/>
    <w:multiLevelType w:val="multilevel"/>
    <w:tmpl w:val="C8FC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E61650"/>
    <w:multiLevelType w:val="multilevel"/>
    <w:tmpl w:val="42F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A51952"/>
    <w:multiLevelType w:val="multilevel"/>
    <w:tmpl w:val="1EBA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816BA"/>
    <w:multiLevelType w:val="multilevel"/>
    <w:tmpl w:val="37FA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5905B0"/>
    <w:multiLevelType w:val="multilevel"/>
    <w:tmpl w:val="B508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82AB5"/>
    <w:multiLevelType w:val="multilevel"/>
    <w:tmpl w:val="4E48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D5228C"/>
    <w:multiLevelType w:val="multilevel"/>
    <w:tmpl w:val="408A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60410F"/>
    <w:multiLevelType w:val="multilevel"/>
    <w:tmpl w:val="30A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745E8"/>
    <w:multiLevelType w:val="hybridMultilevel"/>
    <w:tmpl w:val="604236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AFD5F44"/>
    <w:multiLevelType w:val="multilevel"/>
    <w:tmpl w:val="DD1A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AD49B2"/>
    <w:multiLevelType w:val="multilevel"/>
    <w:tmpl w:val="DCF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D3137"/>
    <w:multiLevelType w:val="multilevel"/>
    <w:tmpl w:val="8B04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1E5A6C"/>
    <w:multiLevelType w:val="multilevel"/>
    <w:tmpl w:val="744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31587"/>
    <w:multiLevelType w:val="multilevel"/>
    <w:tmpl w:val="373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A5771C"/>
    <w:multiLevelType w:val="multilevel"/>
    <w:tmpl w:val="693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61142B"/>
    <w:multiLevelType w:val="multilevel"/>
    <w:tmpl w:val="D18A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E0715"/>
    <w:multiLevelType w:val="multilevel"/>
    <w:tmpl w:val="B712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F5250E"/>
    <w:multiLevelType w:val="multilevel"/>
    <w:tmpl w:val="7DC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2549988">
    <w:abstractNumId w:val="8"/>
  </w:num>
  <w:num w:numId="2" w16cid:durableId="1777820647">
    <w:abstractNumId w:val="40"/>
  </w:num>
  <w:num w:numId="3" w16cid:durableId="55250869">
    <w:abstractNumId w:val="21"/>
  </w:num>
  <w:num w:numId="4" w16cid:durableId="942105958">
    <w:abstractNumId w:val="32"/>
  </w:num>
  <w:num w:numId="5" w16cid:durableId="1014261755">
    <w:abstractNumId w:val="29"/>
  </w:num>
  <w:num w:numId="6" w16cid:durableId="858667831">
    <w:abstractNumId w:val="31"/>
  </w:num>
  <w:num w:numId="7" w16cid:durableId="1288465619">
    <w:abstractNumId w:val="37"/>
  </w:num>
  <w:num w:numId="8" w16cid:durableId="1263535857">
    <w:abstractNumId w:val="14"/>
  </w:num>
  <w:num w:numId="9" w16cid:durableId="2052993790">
    <w:abstractNumId w:val="42"/>
  </w:num>
  <w:num w:numId="10" w16cid:durableId="1343387297">
    <w:abstractNumId w:val="38"/>
  </w:num>
  <w:num w:numId="11" w16cid:durableId="1645115031">
    <w:abstractNumId w:val="27"/>
  </w:num>
  <w:num w:numId="12" w16cid:durableId="264313243">
    <w:abstractNumId w:val="22"/>
  </w:num>
  <w:num w:numId="13" w16cid:durableId="1245534937">
    <w:abstractNumId w:val="18"/>
  </w:num>
  <w:num w:numId="14" w16cid:durableId="1277980357">
    <w:abstractNumId w:val="19"/>
  </w:num>
  <w:num w:numId="15" w16cid:durableId="1645770299">
    <w:abstractNumId w:val="34"/>
  </w:num>
  <w:num w:numId="16" w16cid:durableId="2011373218">
    <w:abstractNumId w:val="0"/>
  </w:num>
  <w:num w:numId="17" w16cid:durableId="674382129">
    <w:abstractNumId w:val="35"/>
  </w:num>
  <w:num w:numId="18" w16cid:durableId="954677257">
    <w:abstractNumId w:val="10"/>
  </w:num>
  <w:num w:numId="19" w16cid:durableId="1720546446">
    <w:abstractNumId w:val="41"/>
  </w:num>
  <w:num w:numId="20" w16cid:durableId="583534342">
    <w:abstractNumId w:val="16"/>
  </w:num>
  <w:num w:numId="21" w16cid:durableId="525172052">
    <w:abstractNumId w:val="5"/>
  </w:num>
  <w:num w:numId="22" w16cid:durableId="1521116374">
    <w:abstractNumId w:val="28"/>
  </w:num>
  <w:num w:numId="23" w16cid:durableId="744302772">
    <w:abstractNumId w:val="15"/>
  </w:num>
  <w:num w:numId="24" w16cid:durableId="1367146754">
    <w:abstractNumId w:val="33"/>
  </w:num>
  <w:num w:numId="25" w16cid:durableId="998192435">
    <w:abstractNumId w:val="36"/>
  </w:num>
  <w:num w:numId="26" w16cid:durableId="842355719">
    <w:abstractNumId w:val="23"/>
  </w:num>
  <w:num w:numId="27" w16cid:durableId="1705444373">
    <w:abstractNumId w:val="43"/>
  </w:num>
  <w:num w:numId="28" w16cid:durableId="1116751364">
    <w:abstractNumId w:val="20"/>
  </w:num>
  <w:num w:numId="29" w16cid:durableId="950163268">
    <w:abstractNumId w:val="9"/>
  </w:num>
  <w:num w:numId="30" w16cid:durableId="731195250">
    <w:abstractNumId w:val="12"/>
  </w:num>
  <w:num w:numId="31" w16cid:durableId="1430734558">
    <w:abstractNumId w:val="4"/>
  </w:num>
  <w:num w:numId="32" w16cid:durableId="140120097">
    <w:abstractNumId w:val="7"/>
  </w:num>
  <w:num w:numId="33" w16cid:durableId="339822250">
    <w:abstractNumId w:val="11"/>
  </w:num>
  <w:num w:numId="34" w16cid:durableId="1657413386">
    <w:abstractNumId w:val="6"/>
  </w:num>
  <w:num w:numId="35" w16cid:durableId="572860918">
    <w:abstractNumId w:val="1"/>
  </w:num>
  <w:num w:numId="36" w16cid:durableId="2134709124">
    <w:abstractNumId w:val="30"/>
  </w:num>
  <w:num w:numId="37" w16cid:durableId="1733698953">
    <w:abstractNumId w:val="26"/>
  </w:num>
  <w:num w:numId="38" w16cid:durableId="1373964887">
    <w:abstractNumId w:val="25"/>
  </w:num>
  <w:num w:numId="39" w16cid:durableId="511916600">
    <w:abstractNumId w:val="13"/>
  </w:num>
  <w:num w:numId="40" w16cid:durableId="1112166691">
    <w:abstractNumId w:val="24"/>
  </w:num>
  <w:num w:numId="41" w16cid:durableId="357858463">
    <w:abstractNumId w:val="3"/>
  </w:num>
  <w:num w:numId="42" w16cid:durableId="539754741">
    <w:abstractNumId w:val="39"/>
  </w:num>
  <w:num w:numId="43" w16cid:durableId="278295292">
    <w:abstractNumId w:val="17"/>
  </w:num>
  <w:num w:numId="44" w16cid:durableId="4503215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00E74"/>
    <w:rsid w:val="00002F37"/>
    <w:rsid w:val="000107DF"/>
    <w:rsid w:val="00010CC1"/>
    <w:rsid w:val="00020319"/>
    <w:rsid w:val="000215E7"/>
    <w:rsid w:val="00023A28"/>
    <w:rsid w:val="00031A23"/>
    <w:rsid w:val="000438CA"/>
    <w:rsid w:val="00050E4D"/>
    <w:rsid w:val="0005111F"/>
    <w:rsid w:val="0005753D"/>
    <w:rsid w:val="00060E1B"/>
    <w:rsid w:val="0007013B"/>
    <w:rsid w:val="00072F23"/>
    <w:rsid w:val="0007578A"/>
    <w:rsid w:val="000774AB"/>
    <w:rsid w:val="00085D99"/>
    <w:rsid w:val="00090B00"/>
    <w:rsid w:val="00097D03"/>
    <w:rsid w:val="000A0A8A"/>
    <w:rsid w:val="000A4D3E"/>
    <w:rsid w:val="000A543A"/>
    <w:rsid w:val="000B1862"/>
    <w:rsid w:val="000B1DDE"/>
    <w:rsid w:val="000B5717"/>
    <w:rsid w:val="000B5EE6"/>
    <w:rsid w:val="000C1899"/>
    <w:rsid w:val="000C55FC"/>
    <w:rsid w:val="000D256A"/>
    <w:rsid w:val="000E24EA"/>
    <w:rsid w:val="000F0C3D"/>
    <w:rsid w:val="000F4877"/>
    <w:rsid w:val="0010020C"/>
    <w:rsid w:val="0010606D"/>
    <w:rsid w:val="00113E9A"/>
    <w:rsid w:val="00115178"/>
    <w:rsid w:val="00121AAB"/>
    <w:rsid w:val="0012332B"/>
    <w:rsid w:val="00125AAA"/>
    <w:rsid w:val="00125E07"/>
    <w:rsid w:val="00133A1C"/>
    <w:rsid w:val="00135532"/>
    <w:rsid w:val="00141CFD"/>
    <w:rsid w:val="0014423B"/>
    <w:rsid w:val="00146B6E"/>
    <w:rsid w:val="00147461"/>
    <w:rsid w:val="001501DA"/>
    <w:rsid w:val="00163826"/>
    <w:rsid w:val="00165281"/>
    <w:rsid w:val="001658A4"/>
    <w:rsid w:val="00166BC4"/>
    <w:rsid w:val="00177166"/>
    <w:rsid w:val="00180002"/>
    <w:rsid w:val="00180F2B"/>
    <w:rsid w:val="001813C6"/>
    <w:rsid w:val="001845AC"/>
    <w:rsid w:val="001878EA"/>
    <w:rsid w:val="00187EF9"/>
    <w:rsid w:val="001906EA"/>
    <w:rsid w:val="001924CF"/>
    <w:rsid w:val="00197128"/>
    <w:rsid w:val="001A0283"/>
    <w:rsid w:val="001A0F2A"/>
    <w:rsid w:val="001A49E6"/>
    <w:rsid w:val="001B1F35"/>
    <w:rsid w:val="001B3FD8"/>
    <w:rsid w:val="001C29D2"/>
    <w:rsid w:val="001C49C1"/>
    <w:rsid w:val="001D0799"/>
    <w:rsid w:val="001D1D49"/>
    <w:rsid w:val="001D1EA0"/>
    <w:rsid w:val="001D37EA"/>
    <w:rsid w:val="001D42B4"/>
    <w:rsid w:val="001D7C68"/>
    <w:rsid w:val="001E1668"/>
    <w:rsid w:val="001F1079"/>
    <w:rsid w:val="001F3370"/>
    <w:rsid w:val="001F3B2A"/>
    <w:rsid w:val="001F46D4"/>
    <w:rsid w:val="001F5C98"/>
    <w:rsid w:val="002064E1"/>
    <w:rsid w:val="002077F1"/>
    <w:rsid w:val="00214F5A"/>
    <w:rsid w:val="002233A4"/>
    <w:rsid w:val="0022510D"/>
    <w:rsid w:val="002252CF"/>
    <w:rsid w:val="002314AE"/>
    <w:rsid w:val="00242D98"/>
    <w:rsid w:val="0024366C"/>
    <w:rsid w:val="00244EFC"/>
    <w:rsid w:val="00262382"/>
    <w:rsid w:val="00264830"/>
    <w:rsid w:val="00266C6E"/>
    <w:rsid w:val="002708EB"/>
    <w:rsid w:val="00274D5B"/>
    <w:rsid w:val="00276DD8"/>
    <w:rsid w:val="002850B1"/>
    <w:rsid w:val="00286AFA"/>
    <w:rsid w:val="00293470"/>
    <w:rsid w:val="002962B8"/>
    <w:rsid w:val="002974ED"/>
    <w:rsid w:val="002A2EA3"/>
    <w:rsid w:val="002A4D4C"/>
    <w:rsid w:val="002A5498"/>
    <w:rsid w:val="002B7C81"/>
    <w:rsid w:val="002C604A"/>
    <w:rsid w:val="002C7C2B"/>
    <w:rsid w:val="002D3166"/>
    <w:rsid w:val="002D4470"/>
    <w:rsid w:val="002D57A0"/>
    <w:rsid w:val="002E0102"/>
    <w:rsid w:val="002E1838"/>
    <w:rsid w:val="002E5C6B"/>
    <w:rsid w:val="002E642B"/>
    <w:rsid w:val="002F0663"/>
    <w:rsid w:val="002F4DF2"/>
    <w:rsid w:val="002F6B5B"/>
    <w:rsid w:val="002F7FF9"/>
    <w:rsid w:val="003060CC"/>
    <w:rsid w:val="00306AEE"/>
    <w:rsid w:val="003073DF"/>
    <w:rsid w:val="00317388"/>
    <w:rsid w:val="003223FB"/>
    <w:rsid w:val="00322820"/>
    <w:rsid w:val="00323112"/>
    <w:rsid w:val="00323867"/>
    <w:rsid w:val="00335DE2"/>
    <w:rsid w:val="00337005"/>
    <w:rsid w:val="00340B20"/>
    <w:rsid w:val="00345816"/>
    <w:rsid w:val="00345965"/>
    <w:rsid w:val="00354633"/>
    <w:rsid w:val="00356F79"/>
    <w:rsid w:val="00356FAA"/>
    <w:rsid w:val="00361F27"/>
    <w:rsid w:val="00364BF0"/>
    <w:rsid w:val="003665F9"/>
    <w:rsid w:val="003708EA"/>
    <w:rsid w:val="0037262A"/>
    <w:rsid w:val="003736AA"/>
    <w:rsid w:val="00392F77"/>
    <w:rsid w:val="00394E91"/>
    <w:rsid w:val="003A2CA0"/>
    <w:rsid w:val="003A563E"/>
    <w:rsid w:val="003A7D0E"/>
    <w:rsid w:val="003B146B"/>
    <w:rsid w:val="003B2C93"/>
    <w:rsid w:val="003B4515"/>
    <w:rsid w:val="003B76CE"/>
    <w:rsid w:val="003C2D09"/>
    <w:rsid w:val="003C339C"/>
    <w:rsid w:val="003C7AEA"/>
    <w:rsid w:val="003D4D5F"/>
    <w:rsid w:val="003D5693"/>
    <w:rsid w:val="003D56A8"/>
    <w:rsid w:val="003D76C3"/>
    <w:rsid w:val="003E4DE4"/>
    <w:rsid w:val="003E58EE"/>
    <w:rsid w:val="003F54B3"/>
    <w:rsid w:val="00400AA7"/>
    <w:rsid w:val="0040109D"/>
    <w:rsid w:val="0040287D"/>
    <w:rsid w:val="004341DF"/>
    <w:rsid w:val="00461CB2"/>
    <w:rsid w:val="00475659"/>
    <w:rsid w:val="00483E3D"/>
    <w:rsid w:val="0048728A"/>
    <w:rsid w:val="00491C82"/>
    <w:rsid w:val="00492F8C"/>
    <w:rsid w:val="00493C0D"/>
    <w:rsid w:val="00494B6F"/>
    <w:rsid w:val="004A24F0"/>
    <w:rsid w:val="004A489B"/>
    <w:rsid w:val="004A66B2"/>
    <w:rsid w:val="004A7B9E"/>
    <w:rsid w:val="004B27E2"/>
    <w:rsid w:val="004C022F"/>
    <w:rsid w:val="004C2D02"/>
    <w:rsid w:val="004C6C67"/>
    <w:rsid w:val="004C7E6A"/>
    <w:rsid w:val="004C7E9D"/>
    <w:rsid w:val="004D15AF"/>
    <w:rsid w:val="004D3A2E"/>
    <w:rsid w:val="004E0A0D"/>
    <w:rsid w:val="004E77FF"/>
    <w:rsid w:val="004F39A3"/>
    <w:rsid w:val="004F42B3"/>
    <w:rsid w:val="004F6514"/>
    <w:rsid w:val="004F7071"/>
    <w:rsid w:val="00503A4C"/>
    <w:rsid w:val="00505C05"/>
    <w:rsid w:val="005114A7"/>
    <w:rsid w:val="005146FD"/>
    <w:rsid w:val="00514DF7"/>
    <w:rsid w:val="005154A2"/>
    <w:rsid w:val="0052245C"/>
    <w:rsid w:val="00525D83"/>
    <w:rsid w:val="00526458"/>
    <w:rsid w:val="00526937"/>
    <w:rsid w:val="00536C8B"/>
    <w:rsid w:val="005375C2"/>
    <w:rsid w:val="00543190"/>
    <w:rsid w:val="00546B83"/>
    <w:rsid w:val="00550AC5"/>
    <w:rsid w:val="00553777"/>
    <w:rsid w:val="00553D4B"/>
    <w:rsid w:val="005630D7"/>
    <w:rsid w:val="00563AD6"/>
    <w:rsid w:val="005655C6"/>
    <w:rsid w:val="00570714"/>
    <w:rsid w:val="00576827"/>
    <w:rsid w:val="00582129"/>
    <w:rsid w:val="0058624E"/>
    <w:rsid w:val="00593A8F"/>
    <w:rsid w:val="00593F83"/>
    <w:rsid w:val="005966B8"/>
    <w:rsid w:val="005A73C1"/>
    <w:rsid w:val="005B678D"/>
    <w:rsid w:val="005C023A"/>
    <w:rsid w:val="005C11E0"/>
    <w:rsid w:val="005C1639"/>
    <w:rsid w:val="005C1889"/>
    <w:rsid w:val="005C2776"/>
    <w:rsid w:val="005E118D"/>
    <w:rsid w:val="005E5531"/>
    <w:rsid w:val="005F6C1E"/>
    <w:rsid w:val="005F6F9B"/>
    <w:rsid w:val="00605239"/>
    <w:rsid w:val="00611B50"/>
    <w:rsid w:val="0062075B"/>
    <w:rsid w:val="006246BE"/>
    <w:rsid w:val="006253A8"/>
    <w:rsid w:val="00625675"/>
    <w:rsid w:val="00625FD6"/>
    <w:rsid w:val="00631C80"/>
    <w:rsid w:val="006424ED"/>
    <w:rsid w:val="00643E70"/>
    <w:rsid w:val="00646C2F"/>
    <w:rsid w:val="00647B84"/>
    <w:rsid w:val="00652658"/>
    <w:rsid w:val="00663BB2"/>
    <w:rsid w:val="00665CEF"/>
    <w:rsid w:val="00667768"/>
    <w:rsid w:val="006723A5"/>
    <w:rsid w:val="00675063"/>
    <w:rsid w:val="00687115"/>
    <w:rsid w:val="00692A29"/>
    <w:rsid w:val="00695400"/>
    <w:rsid w:val="006A08B8"/>
    <w:rsid w:val="006A67B4"/>
    <w:rsid w:val="006B666F"/>
    <w:rsid w:val="006D45C8"/>
    <w:rsid w:val="006D57BD"/>
    <w:rsid w:val="006D7983"/>
    <w:rsid w:val="006E094F"/>
    <w:rsid w:val="006E16CF"/>
    <w:rsid w:val="006F3E42"/>
    <w:rsid w:val="006F4B0D"/>
    <w:rsid w:val="006F76BD"/>
    <w:rsid w:val="00701A51"/>
    <w:rsid w:val="007025C7"/>
    <w:rsid w:val="00702F63"/>
    <w:rsid w:val="00704377"/>
    <w:rsid w:val="00704D6A"/>
    <w:rsid w:val="00713342"/>
    <w:rsid w:val="00717CC0"/>
    <w:rsid w:val="00721023"/>
    <w:rsid w:val="00726639"/>
    <w:rsid w:val="007335E7"/>
    <w:rsid w:val="007339AC"/>
    <w:rsid w:val="00735621"/>
    <w:rsid w:val="00737E99"/>
    <w:rsid w:val="00737FE1"/>
    <w:rsid w:val="00755AC6"/>
    <w:rsid w:val="00757B26"/>
    <w:rsid w:val="00763FD7"/>
    <w:rsid w:val="007645EC"/>
    <w:rsid w:val="0076724B"/>
    <w:rsid w:val="00780E9E"/>
    <w:rsid w:val="00783E1C"/>
    <w:rsid w:val="00792C0D"/>
    <w:rsid w:val="00793F87"/>
    <w:rsid w:val="007A5AAA"/>
    <w:rsid w:val="007B00C1"/>
    <w:rsid w:val="007B0A41"/>
    <w:rsid w:val="007B2F1A"/>
    <w:rsid w:val="007C505B"/>
    <w:rsid w:val="007D6B5E"/>
    <w:rsid w:val="007D6FD9"/>
    <w:rsid w:val="007D7D05"/>
    <w:rsid w:val="007E1699"/>
    <w:rsid w:val="00800445"/>
    <w:rsid w:val="0080597E"/>
    <w:rsid w:val="0081678E"/>
    <w:rsid w:val="008238D7"/>
    <w:rsid w:val="008443F5"/>
    <w:rsid w:val="0084630C"/>
    <w:rsid w:val="008473FD"/>
    <w:rsid w:val="00847AF8"/>
    <w:rsid w:val="00850CBB"/>
    <w:rsid w:val="0085553A"/>
    <w:rsid w:val="008559D5"/>
    <w:rsid w:val="008568D2"/>
    <w:rsid w:val="008645F4"/>
    <w:rsid w:val="00864AED"/>
    <w:rsid w:val="00871652"/>
    <w:rsid w:val="00876029"/>
    <w:rsid w:val="00893604"/>
    <w:rsid w:val="008A4E73"/>
    <w:rsid w:val="008B521B"/>
    <w:rsid w:val="008B5A53"/>
    <w:rsid w:val="008C1E81"/>
    <w:rsid w:val="008C2E62"/>
    <w:rsid w:val="008C5E7E"/>
    <w:rsid w:val="008C6A8A"/>
    <w:rsid w:val="008D1A2A"/>
    <w:rsid w:val="008D1EAA"/>
    <w:rsid w:val="008F2E05"/>
    <w:rsid w:val="008F4D79"/>
    <w:rsid w:val="00902B3E"/>
    <w:rsid w:val="0091364B"/>
    <w:rsid w:val="00913AA7"/>
    <w:rsid w:val="00914406"/>
    <w:rsid w:val="00921357"/>
    <w:rsid w:val="009231CB"/>
    <w:rsid w:val="00935FF2"/>
    <w:rsid w:val="0093615E"/>
    <w:rsid w:val="00946C5E"/>
    <w:rsid w:val="00947CF7"/>
    <w:rsid w:val="00947EB4"/>
    <w:rsid w:val="00953BFC"/>
    <w:rsid w:val="00957A1B"/>
    <w:rsid w:val="009615B9"/>
    <w:rsid w:val="00962E6F"/>
    <w:rsid w:val="00964025"/>
    <w:rsid w:val="00965BE3"/>
    <w:rsid w:val="00966A6E"/>
    <w:rsid w:val="009718AE"/>
    <w:rsid w:val="00983D80"/>
    <w:rsid w:val="00991CA1"/>
    <w:rsid w:val="009A163E"/>
    <w:rsid w:val="009A2691"/>
    <w:rsid w:val="009A27C6"/>
    <w:rsid w:val="009A3EAA"/>
    <w:rsid w:val="009A4085"/>
    <w:rsid w:val="009C6A48"/>
    <w:rsid w:val="009D52A6"/>
    <w:rsid w:val="009E0BD9"/>
    <w:rsid w:val="009E740B"/>
    <w:rsid w:val="009F73AA"/>
    <w:rsid w:val="00A201DC"/>
    <w:rsid w:val="00A24579"/>
    <w:rsid w:val="00A45ABD"/>
    <w:rsid w:val="00A50AA2"/>
    <w:rsid w:val="00A52DD3"/>
    <w:rsid w:val="00A5330B"/>
    <w:rsid w:val="00A634C0"/>
    <w:rsid w:val="00A65006"/>
    <w:rsid w:val="00A66CC3"/>
    <w:rsid w:val="00A73EB7"/>
    <w:rsid w:val="00A73F22"/>
    <w:rsid w:val="00A7444F"/>
    <w:rsid w:val="00AA0791"/>
    <w:rsid w:val="00AA474F"/>
    <w:rsid w:val="00AA4ACC"/>
    <w:rsid w:val="00AB1799"/>
    <w:rsid w:val="00AB4424"/>
    <w:rsid w:val="00AD04C2"/>
    <w:rsid w:val="00AD1856"/>
    <w:rsid w:val="00AD59D2"/>
    <w:rsid w:val="00AE2386"/>
    <w:rsid w:val="00AE67CE"/>
    <w:rsid w:val="00AF452D"/>
    <w:rsid w:val="00B11DB1"/>
    <w:rsid w:val="00B128A4"/>
    <w:rsid w:val="00B15E87"/>
    <w:rsid w:val="00B224C5"/>
    <w:rsid w:val="00B30C76"/>
    <w:rsid w:val="00B351B7"/>
    <w:rsid w:val="00B46786"/>
    <w:rsid w:val="00B50929"/>
    <w:rsid w:val="00B50AE4"/>
    <w:rsid w:val="00B51B1B"/>
    <w:rsid w:val="00B556AC"/>
    <w:rsid w:val="00B55DEC"/>
    <w:rsid w:val="00B563CF"/>
    <w:rsid w:val="00B56579"/>
    <w:rsid w:val="00B76794"/>
    <w:rsid w:val="00B81A3D"/>
    <w:rsid w:val="00B83FB5"/>
    <w:rsid w:val="00B856E3"/>
    <w:rsid w:val="00B93E1A"/>
    <w:rsid w:val="00B971DB"/>
    <w:rsid w:val="00BA0143"/>
    <w:rsid w:val="00BA1969"/>
    <w:rsid w:val="00BB7747"/>
    <w:rsid w:val="00BC19B8"/>
    <w:rsid w:val="00BC4A55"/>
    <w:rsid w:val="00BC4F0A"/>
    <w:rsid w:val="00BC786F"/>
    <w:rsid w:val="00BD6922"/>
    <w:rsid w:val="00BE0585"/>
    <w:rsid w:val="00BE7865"/>
    <w:rsid w:val="00BE7A92"/>
    <w:rsid w:val="00BF3F18"/>
    <w:rsid w:val="00BF70F4"/>
    <w:rsid w:val="00BF7995"/>
    <w:rsid w:val="00C032F6"/>
    <w:rsid w:val="00C10E4B"/>
    <w:rsid w:val="00C25F98"/>
    <w:rsid w:val="00C27667"/>
    <w:rsid w:val="00C34AB8"/>
    <w:rsid w:val="00C35ED9"/>
    <w:rsid w:val="00C529A8"/>
    <w:rsid w:val="00C53BCD"/>
    <w:rsid w:val="00C5599F"/>
    <w:rsid w:val="00C566ED"/>
    <w:rsid w:val="00C60D14"/>
    <w:rsid w:val="00C65113"/>
    <w:rsid w:val="00C66661"/>
    <w:rsid w:val="00C70B36"/>
    <w:rsid w:val="00C87B39"/>
    <w:rsid w:val="00C90D56"/>
    <w:rsid w:val="00CB2B37"/>
    <w:rsid w:val="00CC278B"/>
    <w:rsid w:val="00CC38F9"/>
    <w:rsid w:val="00CE6EB2"/>
    <w:rsid w:val="00CF2CEC"/>
    <w:rsid w:val="00CF6E9D"/>
    <w:rsid w:val="00CF6FBD"/>
    <w:rsid w:val="00D00051"/>
    <w:rsid w:val="00D00EA6"/>
    <w:rsid w:val="00D076B7"/>
    <w:rsid w:val="00D12A7D"/>
    <w:rsid w:val="00D241F2"/>
    <w:rsid w:val="00D24ADB"/>
    <w:rsid w:val="00D25BFE"/>
    <w:rsid w:val="00D315F0"/>
    <w:rsid w:val="00D34337"/>
    <w:rsid w:val="00D51E75"/>
    <w:rsid w:val="00D57568"/>
    <w:rsid w:val="00D64E9E"/>
    <w:rsid w:val="00D6779D"/>
    <w:rsid w:val="00D80B7B"/>
    <w:rsid w:val="00D82CB6"/>
    <w:rsid w:val="00D8642B"/>
    <w:rsid w:val="00D876DE"/>
    <w:rsid w:val="00D924DC"/>
    <w:rsid w:val="00D9680B"/>
    <w:rsid w:val="00DA2A10"/>
    <w:rsid w:val="00DA5FBF"/>
    <w:rsid w:val="00DB05B6"/>
    <w:rsid w:val="00DB34EA"/>
    <w:rsid w:val="00DC047D"/>
    <w:rsid w:val="00DD4BB0"/>
    <w:rsid w:val="00DE184B"/>
    <w:rsid w:val="00DE4C9D"/>
    <w:rsid w:val="00DE7314"/>
    <w:rsid w:val="00DF3C46"/>
    <w:rsid w:val="00DF5D14"/>
    <w:rsid w:val="00DF5EAB"/>
    <w:rsid w:val="00DF721C"/>
    <w:rsid w:val="00E002DE"/>
    <w:rsid w:val="00E05FC1"/>
    <w:rsid w:val="00E15225"/>
    <w:rsid w:val="00E3022F"/>
    <w:rsid w:val="00E3266E"/>
    <w:rsid w:val="00E41414"/>
    <w:rsid w:val="00E43405"/>
    <w:rsid w:val="00E4668D"/>
    <w:rsid w:val="00E567F4"/>
    <w:rsid w:val="00E61926"/>
    <w:rsid w:val="00E62DDA"/>
    <w:rsid w:val="00E64BC8"/>
    <w:rsid w:val="00E745E8"/>
    <w:rsid w:val="00E776C7"/>
    <w:rsid w:val="00E8489F"/>
    <w:rsid w:val="00E91DE7"/>
    <w:rsid w:val="00E92E8B"/>
    <w:rsid w:val="00E950BC"/>
    <w:rsid w:val="00EA457F"/>
    <w:rsid w:val="00EA4EBA"/>
    <w:rsid w:val="00EC1B0F"/>
    <w:rsid w:val="00EC1C64"/>
    <w:rsid w:val="00EC2967"/>
    <w:rsid w:val="00EC53FC"/>
    <w:rsid w:val="00EC6B49"/>
    <w:rsid w:val="00ED185E"/>
    <w:rsid w:val="00ED229A"/>
    <w:rsid w:val="00ED24B6"/>
    <w:rsid w:val="00ED61D6"/>
    <w:rsid w:val="00EE39B9"/>
    <w:rsid w:val="00EF3FC1"/>
    <w:rsid w:val="00F00A0F"/>
    <w:rsid w:val="00F02C5B"/>
    <w:rsid w:val="00F05513"/>
    <w:rsid w:val="00F1371D"/>
    <w:rsid w:val="00F14F60"/>
    <w:rsid w:val="00F16B81"/>
    <w:rsid w:val="00F20CB5"/>
    <w:rsid w:val="00F31902"/>
    <w:rsid w:val="00F33DEE"/>
    <w:rsid w:val="00F434BC"/>
    <w:rsid w:val="00F44FB0"/>
    <w:rsid w:val="00F45186"/>
    <w:rsid w:val="00F56B05"/>
    <w:rsid w:val="00F63100"/>
    <w:rsid w:val="00F637F9"/>
    <w:rsid w:val="00F65971"/>
    <w:rsid w:val="00F746AF"/>
    <w:rsid w:val="00F80B59"/>
    <w:rsid w:val="00F80F44"/>
    <w:rsid w:val="00F80FF3"/>
    <w:rsid w:val="00F81858"/>
    <w:rsid w:val="00F825AC"/>
    <w:rsid w:val="00F874EA"/>
    <w:rsid w:val="00F90AEF"/>
    <w:rsid w:val="00F94C96"/>
    <w:rsid w:val="00F95E54"/>
    <w:rsid w:val="00F97414"/>
    <w:rsid w:val="00F9771F"/>
    <w:rsid w:val="00FA3535"/>
    <w:rsid w:val="00FA54C8"/>
    <w:rsid w:val="00FA7B39"/>
    <w:rsid w:val="00FB01A6"/>
    <w:rsid w:val="00FB01AD"/>
    <w:rsid w:val="00FB2AA9"/>
    <w:rsid w:val="00FC3FF3"/>
    <w:rsid w:val="00FC7B40"/>
    <w:rsid w:val="00FD04AB"/>
    <w:rsid w:val="00FD3008"/>
    <w:rsid w:val="00FE14D2"/>
    <w:rsid w:val="00FE4789"/>
    <w:rsid w:val="00FE5768"/>
    <w:rsid w:val="00FE5CE8"/>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29"/>
  </w:style>
  <w:style w:type="paragraph" w:styleId="Titre3">
    <w:name w:val="heading 3"/>
    <w:basedOn w:val="Normal"/>
    <w:next w:val="Normal"/>
    <w:link w:val="Titre3Car"/>
    <w:uiPriority w:val="9"/>
    <w:semiHidden/>
    <w:unhideWhenUsed/>
    <w:qFormat/>
    <w:rsid w:val="00C25F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922"/>
    <w:pPr>
      <w:tabs>
        <w:tab w:val="center" w:pos="4680"/>
        <w:tab w:val="right" w:pos="9360"/>
      </w:tabs>
      <w:spacing w:after="0" w:line="240" w:lineRule="auto"/>
    </w:pPr>
  </w:style>
  <w:style w:type="character" w:customStyle="1" w:styleId="En-tteCar">
    <w:name w:val="En-tête Car"/>
    <w:basedOn w:val="Policepardfaut"/>
    <w:link w:val="En-tte"/>
    <w:uiPriority w:val="99"/>
    <w:rsid w:val="00BD6922"/>
  </w:style>
  <w:style w:type="paragraph" w:styleId="Pieddepage">
    <w:name w:val="footer"/>
    <w:basedOn w:val="Normal"/>
    <w:link w:val="PieddepageCar"/>
    <w:uiPriority w:val="99"/>
    <w:unhideWhenUsed/>
    <w:rsid w:val="00BD69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6922"/>
  </w:style>
  <w:style w:type="paragraph" w:styleId="Paragraphedeliste">
    <w:name w:val="List Paragraph"/>
    <w:aliases w:val="References,Bullets,List Paragraph (numbered (a)),Dot pt,List Paragraph Char Char Char,Indicator Text,List Paragraph1,Numbered Para 1,List Paragraph12,Bullet Points,MAIN CONTENT,Bullet 1,MCHIP_list paragraph,Recommendation"/>
    <w:basedOn w:val="Normal"/>
    <w:link w:val="ParagraphedelisteCar"/>
    <w:uiPriority w:val="34"/>
    <w:qFormat/>
    <w:rsid w:val="0010606D"/>
    <w:pPr>
      <w:ind w:left="720"/>
      <w:contextualSpacing/>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DB05B6"/>
  </w:style>
  <w:style w:type="character" w:customStyle="1" w:styleId="eop">
    <w:name w:val="eop"/>
    <w:basedOn w:val="Policepardfaut"/>
    <w:rsid w:val="00DB05B6"/>
  </w:style>
  <w:style w:type="character" w:styleId="Lienhypertexte">
    <w:name w:val="Hyperlink"/>
    <w:basedOn w:val="Policepardfaut"/>
    <w:uiPriority w:val="99"/>
    <w:unhideWhenUsed/>
    <w:rsid w:val="00D9680B"/>
    <w:rPr>
      <w:color w:val="0000FF" w:themeColor="hyperlink"/>
      <w:u w:val="single"/>
    </w:rPr>
  </w:style>
  <w:style w:type="character" w:styleId="Mentionnonrsolue">
    <w:name w:val="Unresolved Mention"/>
    <w:basedOn w:val="Policepardfaut"/>
    <w:uiPriority w:val="99"/>
    <w:semiHidden/>
    <w:unhideWhenUsed/>
    <w:rsid w:val="00D9680B"/>
    <w:rPr>
      <w:color w:val="605E5C"/>
      <w:shd w:val="clear" w:color="auto" w:fill="E1DFDD"/>
    </w:rPr>
  </w:style>
  <w:style w:type="paragraph" w:styleId="Rvision">
    <w:name w:val="Revision"/>
    <w:hidden/>
    <w:uiPriority w:val="99"/>
    <w:semiHidden/>
    <w:rsid w:val="00DF5EAB"/>
    <w:pPr>
      <w:widowControl/>
      <w:spacing w:after="0" w:line="240" w:lineRule="auto"/>
    </w:pPr>
  </w:style>
  <w:style w:type="paragraph" w:styleId="Objetducommentaire">
    <w:name w:val="annotation subject"/>
    <w:basedOn w:val="Commentaire"/>
    <w:next w:val="Commentaire"/>
    <w:link w:val="ObjetducommentaireCar"/>
    <w:uiPriority w:val="99"/>
    <w:semiHidden/>
    <w:unhideWhenUsed/>
    <w:rsid w:val="007B00C1"/>
    <w:rPr>
      <w:b/>
      <w:bCs/>
    </w:rPr>
  </w:style>
  <w:style w:type="character" w:customStyle="1" w:styleId="ObjetducommentaireCar">
    <w:name w:val="Objet du commentaire Car"/>
    <w:basedOn w:val="CommentaireCar"/>
    <w:link w:val="Objetducommentaire"/>
    <w:uiPriority w:val="99"/>
    <w:semiHidden/>
    <w:rsid w:val="007B00C1"/>
    <w:rPr>
      <w:b/>
      <w:bCs/>
      <w:sz w:val="20"/>
      <w:szCs w:val="20"/>
    </w:rPr>
  </w:style>
  <w:style w:type="character" w:customStyle="1" w:styleId="ParagraphedelisteCar">
    <w:name w:val="Paragraphe de liste Car"/>
    <w:aliases w:val="References Car,Bullets Car,List Paragraph (numbered (a)) Car,Dot pt Car,List Paragraph Char Char Char Car,Indicator Text Car,List Paragraph1 Car,Numbered Para 1 Car,List Paragraph12 Car,Bullet Points Car,MAIN CONTENT Car"/>
    <w:link w:val="Paragraphedeliste"/>
    <w:uiPriority w:val="34"/>
    <w:qFormat/>
    <w:locked/>
    <w:rsid w:val="0005753D"/>
  </w:style>
  <w:style w:type="paragraph" w:styleId="Notedebasdepage">
    <w:name w:val="footnote text"/>
    <w:basedOn w:val="Normal"/>
    <w:link w:val="NotedebasdepageCar"/>
    <w:uiPriority w:val="99"/>
    <w:semiHidden/>
    <w:unhideWhenUsed/>
    <w:rsid w:val="004E0A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0A0D"/>
    <w:rPr>
      <w:sz w:val="20"/>
      <w:szCs w:val="20"/>
    </w:rPr>
  </w:style>
  <w:style w:type="character" w:styleId="Appelnotedebasdep">
    <w:name w:val="footnote reference"/>
    <w:basedOn w:val="Policepardfaut"/>
    <w:uiPriority w:val="99"/>
    <w:semiHidden/>
    <w:unhideWhenUsed/>
    <w:rsid w:val="004E0A0D"/>
    <w:rPr>
      <w:vertAlign w:val="superscript"/>
    </w:rPr>
  </w:style>
  <w:style w:type="character" w:styleId="Accentuation">
    <w:name w:val="Emphasis"/>
    <w:basedOn w:val="Policepardfaut"/>
    <w:uiPriority w:val="20"/>
    <w:qFormat/>
    <w:rsid w:val="007645EC"/>
    <w:rPr>
      <w:i/>
      <w:iCs/>
    </w:rPr>
  </w:style>
  <w:style w:type="paragraph" w:customStyle="1" w:styleId="Default">
    <w:name w:val="Default"/>
    <w:rsid w:val="00B56579"/>
    <w:pPr>
      <w:widowControl/>
      <w:autoSpaceDE w:val="0"/>
      <w:autoSpaceDN w:val="0"/>
      <w:adjustRightInd w:val="0"/>
      <w:spacing w:after="0" w:line="240" w:lineRule="auto"/>
    </w:pPr>
    <w:rPr>
      <w:rFonts w:ascii="Calibri" w:hAnsi="Calibri" w:cs="Calibri"/>
      <w:color w:val="000000"/>
      <w:sz w:val="24"/>
      <w:szCs w:val="24"/>
    </w:rPr>
  </w:style>
  <w:style w:type="character" w:customStyle="1" w:styleId="Titre3Car">
    <w:name w:val="Titre 3 Car"/>
    <w:basedOn w:val="Policepardfaut"/>
    <w:link w:val="Titre3"/>
    <w:uiPriority w:val="9"/>
    <w:semiHidden/>
    <w:rsid w:val="00C25F9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620339385">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m.int/sites/g/files/tmzbdl486/files/2018-07/IOM-Humanitarian-Policy-Principles-on-Humanitarian-Ac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geripsccommittee@iom.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geripsccommittee@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customXml/itemProps2.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3.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6BFD34-BEFD-43ED-BEF1-9693FE26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6103</Words>
  <Characters>33567</Characters>
  <Application>Microsoft Office Word</Application>
  <DocSecurity>0</DocSecurity>
  <Lines>279</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Laouali Kadade</cp:lastModifiedBy>
  <cp:revision>2</cp:revision>
  <dcterms:created xsi:type="dcterms:W3CDTF">2025-08-26T09:35:00Z</dcterms:created>
  <dcterms:modified xsi:type="dcterms:W3CDTF">2025-08-26T09:35:00Z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